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新宋体" w:hAnsi="新宋体" w:eastAsia="新宋体" w:cs="新宋体"/>
          <w:b/>
          <w:bCs/>
          <w:color w:val="000000"/>
          <w:sz w:val="28"/>
          <w:szCs w:val="28"/>
          <w:lang w:val="en-US" w:eastAsia="zh-CN"/>
        </w:rPr>
      </w:pPr>
      <w:bookmarkStart w:id="25" w:name="_GoBack"/>
      <w:bookmarkEnd w:id="25"/>
    </w:p>
    <w:p>
      <w:pPr>
        <w:jc w:val="center"/>
        <w:rPr>
          <w:rFonts w:hint="eastAsia" w:ascii="新宋体" w:hAnsi="新宋体" w:eastAsia="新宋体" w:cs="新宋体"/>
          <w:b/>
          <w:sz w:val="44"/>
          <w:szCs w:val="44"/>
        </w:rPr>
      </w:pPr>
      <w:r>
        <w:rPr>
          <w:rFonts w:hint="eastAsia" w:ascii="新宋体" w:hAnsi="新宋体" w:eastAsia="新宋体" w:cs="新宋体"/>
          <w:b/>
          <w:bCs/>
          <w:color w:val="000000"/>
          <w:sz w:val="44"/>
          <w:szCs w:val="44"/>
        </w:rPr>
        <w:t>海上污染物回收和清除方案</w:t>
      </w:r>
    </w:p>
    <w:p>
      <w:pPr>
        <w:jc w:val="center"/>
        <w:rPr>
          <w:rFonts w:hint="eastAsia" w:ascii="新宋体" w:hAnsi="新宋体" w:eastAsia="新宋体" w:cs="新宋体"/>
          <w:b/>
          <w:sz w:val="44"/>
          <w:szCs w:val="44"/>
        </w:rPr>
      </w:pPr>
      <w:r>
        <w:rPr>
          <w:rFonts w:hint="eastAsia" w:ascii="新宋体" w:hAnsi="新宋体" w:eastAsia="新宋体" w:cs="新宋体"/>
          <w:b/>
          <w:sz w:val="44"/>
          <w:szCs w:val="44"/>
        </w:rPr>
        <w:t>目 录</w:t>
      </w:r>
    </w:p>
    <w:p>
      <w:pPr>
        <w:jc w:val="center"/>
        <w:rPr>
          <w:rFonts w:hint="eastAsia" w:ascii="新宋体" w:hAnsi="新宋体" w:eastAsia="新宋体" w:cs="新宋体"/>
          <w:b/>
          <w:sz w:val="44"/>
          <w:szCs w:val="44"/>
        </w:rPr>
      </w:pPr>
    </w:p>
    <w:p>
      <w:pPr>
        <w:rPr>
          <w:rFonts w:hint="eastAsia" w:ascii="新宋体" w:hAnsi="新宋体" w:eastAsia="新宋体" w:cs="新宋体"/>
          <w:b/>
          <w:sz w:val="32"/>
          <w:szCs w:val="32"/>
        </w:rPr>
      </w:pPr>
      <w:r>
        <w:rPr>
          <w:rFonts w:hint="eastAsia" w:ascii="新宋体" w:hAnsi="新宋体" w:eastAsia="新宋体" w:cs="新宋体"/>
          <w:b/>
          <w:sz w:val="32"/>
          <w:szCs w:val="32"/>
        </w:rPr>
        <w:t>1、</w:t>
      </w:r>
      <w:r>
        <w:rPr>
          <w:rFonts w:hint="eastAsia" w:ascii="新宋体" w:hAnsi="新宋体" w:eastAsia="新宋体" w:cs="新宋体"/>
          <w:b/>
          <w:sz w:val="28"/>
          <w:szCs w:val="28"/>
        </w:rPr>
        <w:t>服务区域特点的总体应急策略描述</w:t>
      </w:r>
    </w:p>
    <w:p>
      <w:pPr>
        <w:rPr>
          <w:rFonts w:hint="eastAsia" w:ascii="新宋体" w:hAnsi="新宋体" w:eastAsia="新宋体" w:cs="新宋体"/>
          <w:b/>
          <w:color w:val="000000"/>
          <w:sz w:val="28"/>
          <w:szCs w:val="28"/>
        </w:rPr>
      </w:pPr>
      <w:r>
        <w:rPr>
          <w:rFonts w:hint="eastAsia" w:ascii="新宋体" w:hAnsi="新宋体" w:eastAsia="新宋体" w:cs="新宋体"/>
          <w:b/>
          <w:sz w:val="32"/>
          <w:szCs w:val="32"/>
        </w:rPr>
        <w:t>2、</w:t>
      </w:r>
      <w:r>
        <w:rPr>
          <w:rFonts w:hint="eastAsia" w:ascii="新宋体" w:hAnsi="新宋体" w:eastAsia="新宋体" w:cs="新宋体"/>
          <w:b/>
          <w:color w:val="000000"/>
          <w:sz w:val="28"/>
          <w:szCs w:val="28"/>
        </w:rPr>
        <w:t>服务的主要船舶类型及其载货种类的应急堵漏、卸载污染控制方案</w:t>
      </w:r>
    </w:p>
    <w:p>
      <w:pPr>
        <w:rPr>
          <w:rFonts w:hint="eastAsia" w:ascii="新宋体" w:hAnsi="新宋体" w:eastAsia="新宋体" w:cs="新宋体"/>
          <w:b/>
          <w:color w:val="000000"/>
          <w:sz w:val="28"/>
          <w:szCs w:val="28"/>
        </w:rPr>
      </w:pPr>
      <w:r>
        <w:rPr>
          <w:rFonts w:hint="eastAsia" w:ascii="新宋体" w:hAnsi="新宋体" w:eastAsia="新宋体" w:cs="新宋体"/>
          <w:b/>
          <w:sz w:val="32"/>
          <w:szCs w:val="32"/>
        </w:rPr>
        <w:t>3、</w:t>
      </w:r>
      <w:r>
        <w:rPr>
          <w:rFonts w:hint="eastAsia" w:ascii="新宋体" w:hAnsi="新宋体" w:eastAsia="新宋体" w:cs="新宋体"/>
          <w:b/>
          <w:color w:val="000000"/>
          <w:sz w:val="28"/>
          <w:szCs w:val="28"/>
        </w:rPr>
        <w:t>保护服务区域内的主要敏感资源的围护方案</w:t>
      </w:r>
    </w:p>
    <w:p>
      <w:pPr>
        <w:rPr>
          <w:rFonts w:hint="eastAsia" w:ascii="新宋体" w:hAnsi="新宋体" w:eastAsia="新宋体" w:cs="新宋体"/>
          <w:b/>
          <w:sz w:val="32"/>
          <w:szCs w:val="32"/>
        </w:rPr>
      </w:pPr>
      <w:r>
        <w:rPr>
          <w:rFonts w:hint="eastAsia" w:ascii="新宋体" w:hAnsi="新宋体" w:eastAsia="新宋体" w:cs="新宋体"/>
          <w:b/>
          <w:sz w:val="32"/>
          <w:szCs w:val="32"/>
        </w:rPr>
        <w:t>4、</w:t>
      </w:r>
      <w:r>
        <w:rPr>
          <w:rFonts w:hint="eastAsia" w:ascii="新宋体" w:hAnsi="新宋体" w:eastAsia="新宋体" w:cs="新宋体"/>
          <w:b/>
          <w:color w:val="000000"/>
          <w:sz w:val="28"/>
          <w:szCs w:val="28"/>
        </w:rPr>
        <w:t>海上污染物回收和清除方案</w:t>
      </w:r>
    </w:p>
    <w:p>
      <w:pPr>
        <w:rPr>
          <w:rFonts w:hint="eastAsia" w:ascii="新宋体" w:hAnsi="新宋体" w:eastAsia="新宋体" w:cs="新宋体"/>
          <w:b/>
          <w:sz w:val="32"/>
          <w:szCs w:val="32"/>
        </w:rPr>
      </w:pPr>
      <w:r>
        <w:rPr>
          <w:rFonts w:hint="eastAsia" w:ascii="新宋体" w:hAnsi="新宋体" w:eastAsia="新宋体" w:cs="新宋体"/>
          <w:b/>
          <w:sz w:val="32"/>
          <w:szCs w:val="32"/>
        </w:rPr>
        <w:t>5、</w:t>
      </w:r>
      <w:r>
        <w:rPr>
          <w:rFonts w:hint="eastAsia" w:ascii="新宋体" w:hAnsi="新宋体" w:eastAsia="新宋体" w:cs="新宋体"/>
          <w:b/>
          <w:color w:val="000000"/>
          <w:sz w:val="32"/>
          <w:szCs w:val="32"/>
        </w:rPr>
        <w:t>溢油应急清污方案</w:t>
      </w:r>
    </w:p>
    <w:p>
      <w:pPr>
        <w:rPr>
          <w:rFonts w:hint="eastAsia" w:ascii="新宋体" w:hAnsi="新宋体" w:eastAsia="新宋体" w:cs="新宋体"/>
          <w:b/>
          <w:sz w:val="32"/>
          <w:szCs w:val="32"/>
        </w:rPr>
      </w:pPr>
      <w:r>
        <w:rPr>
          <w:rFonts w:hint="eastAsia" w:ascii="新宋体" w:hAnsi="新宋体" w:eastAsia="新宋体" w:cs="新宋体"/>
          <w:b/>
          <w:sz w:val="32"/>
          <w:szCs w:val="32"/>
        </w:rPr>
        <w:t>6、污染清除作业安全方案</w:t>
      </w:r>
    </w:p>
    <w:p>
      <w:pPr>
        <w:jc w:val="center"/>
        <w:rPr>
          <w:rFonts w:hint="eastAsia" w:ascii="新宋体" w:hAnsi="新宋体" w:eastAsia="新宋体" w:cs="新宋体"/>
          <w:b/>
          <w:bCs/>
          <w:sz w:val="36"/>
          <w:szCs w:val="28"/>
        </w:rPr>
      </w:pPr>
    </w:p>
    <w:p>
      <w:pPr>
        <w:jc w:val="center"/>
        <w:rPr>
          <w:rFonts w:hint="eastAsia" w:ascii="新宋体" w:hAnsi="新宋体" w:eastAsia="新宋体" w:cs="新宋体"/>
          <w:b/>
          <w:bCs/>
          <w:sz w:val="36"/>
          <w:szCs w:val="28"/>
        </w:rPr>
      </w:pPr>
    </w:p>
    <w:p>
      <w:pPr>
        <w:jc w:val="center"/>
        <w:rPr>
          <w:rFonts w:hint="eastAsia" w:ascii="新宋体" w:hAnsi="新宋体" w:eastAsia="新宋体" w:cs="新宋体"/>
          <w:b/>
          <w:bCs/>
          <w:sz w:val="36"/>
          <w:szCs w:val="28"/>
        </w:rPr>
      </w:pPr>
    </w:p>
    <w:p>
      <w:pPr>
        <w:jc w:val="center"/>
        <w:rPr>
          <w:rFonts w:hint="eastAsia" w:ascii="新宋体" w:hAnsi="新宋体" w:eastAsia="新宋体" w:cs="新宋体"/>
          <w:b/>
          <w:bCs/>
          <w:sz w:val="36"/>
          <w:szCs w:val="28"/>
        </w:rPr>
      </w:pPr>
    </w:p>
    <w:p>
      <w:pPr>
        <w:jc w:val="center"/>
        <w:rPr>
          <w:rFonts w:hint="eastAsia" w:ascii="新宋体" w:hAnsi="新宋体" w:eastAsia="新宋体" w:cs="新宋体"/>
          <w:b/>
          <w:bCs/>
          <w:sz w:val="36"/>
          <w:szCs w:val="28"/>
        </w:rPr>
      </w:pPr>
    </w:p>
    <w:p>
      <w:pPr>
        <w:jc w:val="center"/>
        <w:rPr>
          <w:rFonts w:hint="eastAsia" w:ascii="新宋体" w:hAnsi="新宋体" w:eastAsia="新宋体" w:cs="新宋体"/>
          <w:b/>
          <w:bCs/>
          <w:sz w:val="36"/>
          <w:szCs w:val="28"/>
        </w:rPr>
      </w:pPr>
    </w:p>
    <w:p>
      <w:pPr>
        <w:jc w:val="center"/>
        <w:rPr>
          <w:rFonts w:hint="eastAsia" w:ascii="新宋体" w:hAnsi="新宋体" w:eastAsia="新宋体" w:cs="新宋体"/>
          <w:b/>
          <w:bCs/>
          <w:sz w:val="36"/>
          <w:szCs w:val="28"/>
        </w:rPr>
      </w:pPr>
    </w:p>
    <w:p>
      <w:pPr>
        <w:jc w:val="center"/>
        <w:rPr>
          <w:rFonts w:hint="eastAsia" w:ascii="新宋体" w:hAnsi="新宋体" w:eastAsia="新宋体" w:cs="新宋体"/>
          <w:b/>
          <w:bCs/>
          <w:sz w:val="36"/>
          <w:szCs w:val="28"/>
        </w:rPr>
      </w:pPr>
    </w:p>
    <w:p>
      <w:pPr>
        <w:jc w:val="center"/>
        <w:rPr>
          <w:rFonts w:hint="eastAsia" w:ascii="新宋体" w:hAnsi="新宋体" w:eastAsia="新宋体" w:cs="新宋体"/>
          <w:b/>
          <w:bCs/>
          <w:sz w:val="36"/>
          <w:szCs w:val="28"/>
        </w:rPr>
      </w:pPr>
    </w:p>
    <w:p>
      <w:pPr>
        <w:jc w:val="both"/>
        <w:rPr>
          <w:rFonts w:hint="eastAsia" w:ascii="新宋体" w:hAnsi="新宋体" w:eastAsia="新宋体" w:cs="新宋体"/>
          <w:b/>
          <w:bCs/>
          <w:sz w:val="36"/>
          <w:szCs w:val="28"/>
        </w:rPr>
      </w:pPr>
    </w:p>
    <w:p>
      <w:pPr>
        <w:rPr>
          <w:rFonts w:hint="eastAsia" w:ascii="新宋体" w:hAnsi="新宋体" w:eastAsia="新宋体" w:cs="新宋体"/>
          <w:b/>
          <w:sz w:val="28"/>
          <w:szCs w:val="28"/>
        </w:rPr>
      </w:pPr>
      <w:r>
        <w:rPr>
          <w:rFonts w:hint="eastAsia" w:ascii="新宋体" w:hAnsi="新宋体" w:eastAsia="新宋体" w:cs="新宋体"/>
          <w:b/>
          <w:sz w:val="28"/>
          <w:szCs w:val="28"/>
        </w:rPr>
        <w:t>1服务区域特点的总体应急策略描述</w:t>
      </w:r>
    </w:p>
    <w:p>
      <w:pPr>
        <w:rPr>
          <w:rFonts w:hint="eastAsia" w:ascii="新宋体" w:hAnsi="新宋体" w:eastAsia="新宋体" w:cs="新宋体"/>
          <w:b/>
          <w:color w:val="000000"/>
          <w:sz w:val="30"/>
          <w:szCs w:val="30"/>
        </w:rPr>
      </w:pPr>
      <w:r>
        <w:rPr>
          <w:rFonts w:hint="eastAsia" w:ascii="新宋体" w:hAnsi="新宋体" w:eastAsia="新宋体" w:cs="新宋体"/>
          <w:b/>
          <w:color w:val="000000"/>
          <w:sz w:val="30"/>
          <w:szCs w:val="30"/>
        </w:rPr>
        <w:t>1.1连云港港区域应急策略</w:t>
      </w:r>
    </w:p>
    <w:p>
      <w:pPr>
        <w:rPr>
          <w:rFonts w:hint="eastAsia" w:ascii="新宋体" w:hAnsi="新宋体" w:eastAsia="新宋体" w:cs="新宋体"/>
          <w:b/>
          <w:color w:val="000000"/>
          <w:sz w:val="30"/>
          <w:szCs w:val="30"/>
        </w:rPr>
      </w:pPr>
      <w:r>
        <w:rPr>
          <w:rFonts w:hint="eastAsia" w:ascii="新宋体" w:hAnsi="新宋体" w:eastAsia="新宋体" w:cs="新宋体"/>
          <w:b/>
          <w:color w:val="000000"/>
          <w:sz w:val="30"/>
          <w:szCs w:val="30"/>
        </w:rPr>
        <w:t>1.1.1连云港港区域特点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lang w:val="en-US" w:eastAsia="zh-CN"/>
        </w:rPr>
        <w:t xml:space="preserve">    </w:t>
      </w:r>
      <w:r>
        <w:rPr>
          <w:rFonts w:hint="eastAsia" w:ascii="新宋体" w:hAnsi="新宋体" w:eastAsia="新宋体" w:cs="新宋体"/>
          <w:color w:val="000000"/>
          <w:sz w:val="28"/>
          <w:szCs w:val="28"/>
        </w:rPr>
        <w:t>连云港港拥有包括集装箱、散粮、焦炭、煤炭、矿石、氧化铝、液体化工、客滚、件杂货在内的各类码头泊位43个，其中万吨级以上泊位32个；与160多个国家和地区的港口建立通航关系，辟有至</w:t>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"http://baike.baidu.com/view/3622.htm"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欧洲</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t>、</w:t>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"http://baike.baidu.com/view/6891.htm"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美洲</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t>、中东、东北亚、东南亚等集装箱和货运班轮航线40多条，并开通了至</w:t>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"http://baike.baidu.com/view/3299.htm"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韩国</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"http://baike.baidu.com/view/34667.htm"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仁川</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t>、</w:t>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"http://baike.baidu.com/view/885661.htm"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平泽</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t xml:space="preserve">两条大型客箱班轮航线。 </w:t>
      </w:r>
    </w:p>
    <w:p>
      <w:pPr>
        <w:ind w:firstLine="57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连云港港以建成集装箱运输优先发展的亿吨大港、上海和青岛之间的集装箱运输干线大港、带动区域经济发展的组合大港、全力服务于地方和中西部地区区域发展为目标追求，坚持好中求快，科学发展，吞吐量大幅上升，集装箱运量占据江苏首位，跨入全国前10、世界百强，多次跃上中国最具竞争力10大港口排行榜； 奉行“客户至上，质量第一”的服务宗旨，树立“一切为客户着想” 的经营理念，以高效、</w:t>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"http://baike.baidu.com/view/949491.htm"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优质</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t>、</w:t>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"http://baike.baidu.com/view/424619.htm"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优惠</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t>的装卸运输竭诚服务客户，多次荣膺中国海运船港星光榜服务五星级港口。</w:t>
      </w:r>
    </w:p>
    <w:p>
      <w:pPr>
        <w:ind w:firstLine="570"/>
        <w:rPr>
          <w:rFonts w:hint="eastAsia" w:ascii="新宋体" w:hAnsi="新宋体" w:eastAsia="新宋体" w:cs="新宋体"/>
          <w:color w:val="FF0000"/>
          <w:sz w:val="28"/>
          <w:szCs w:val="28"/>
        </w:rPr>
      </w:pPr>
      <w:r>
        <w:rPr>
          <w:rFonts w:hint="eastAsia" w:ascii="新宋体" w:hAnsi="新宋体" w:eastAsia="新宋体" w:cs="新宋体"/>
          <w:color w:val="000000"/>
          <w:sz w:val="28"/>
          <w:szCs w:val="28"/>
        </w:rPr>
        <w:t>连云港港是“国家规划的能源和原材料运输的重要口岸和重要的煤炭装船港”，“是中国沿海集装箱运输的支线港，应加快发展成为集装箱运输干线港”。 连云港港分为连云、赣榆、徐圩、</w:t>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"http://baike.baidu.com/view/25181.htm"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前三岛</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t>、</w:t>
      </w:r>
      <w:r>
        <w:rPr>
          <w:rFonts w:hint="eastAsia" w:ascii="新宋体" w:hAnsi="新宋体" w:eastAsia="新宋体" w:cs="新宋体"/>
          <w:color w:val="000000"/>
          <w:sz w:val="28"/>
          <w:szCs w:val="28"/>
        </w:rPr>
        <w:fldChar w:fldCharType="begin"/>
      </w:r>
      <w:r>
        <w:rPr>
          <w:rFonts w:hint="eastAsia" w:ascii="新宋体" w:hAnsi="新宋体" w:eastAsia="新宋体" w:cs="新宋体"/>
          <w:color w:val="000000"/>
          <w:sz w:val="28"/>
          <w:szCs w:val="28"/>
        </w:rPr>
        <w:instrText xml:space="preserve"> HYPERLINK "http://baike.baidu.com/view/96277.htm" \t "_blank" </w:instrText>
      </w:r>
      <w:r>
        <w:rPr>
          <w:rFonts w:hint="eastAsia" w:ascii="新宋体" w:hAnsi="新宋体" w:eastAsia="新宋体" w:cs="新宋体"/>
          <w:color w:val="000000"/>
          <w:sz w:val="28"/>
          <w:szCs w:val="28"/>
        </w:rPr>
        <w:fldChar w:fldCharType="separate"/>
      </w:r>
      <w:r>
        <w:rPr>
          <w:rFonts w:hint="eastAsia" w:ascii="新宋体" w:hAnsi="新宋体" w:eastAsia="新宋体" w:cs="新宋体"/>
          <w:color w:val="000000"/>
          <w:sz w:val="28"/>
          <w:szCs w:val="28"/>
        </w:rPr>
        <w:t>灌河</w:t>
      </w:r>
      <w:r>
        <w:rPr>
          <w:rFonts w:hint="eastAsia" w:ascii="新宋体" w:hAnsi="新宋体" w:eastAsia="新宋体" w:cs="新宋体"/>
          <w:color w:val="000000"/>
          <w:sz w:val="28"/>
          <w:szCs w:val="28"/>
        </w:rPr>
        <w:fldChar w:fldCharType="end"/>
      </w:r>
      <w:r>
        <w:rPr>
          <w:rFonts w:hint="eastAsia" w:ascii="新宋体" w:hAnsi="新宋体" w:eastAsia="新宋体" w:cs="新宋体"/>
          <w:color w:val="000000"/>
          <w:sz w:val="28"/>
          <w:szCs w:val="28"/>
        </w:rPr>
        <w:t>五个港区。俞向阳介绍，在所谓的“一体两翼”的组合港中，连云为主港区，赣榆、前三岛位于北港区，徐圩、灌河位于南港区。201</w:t>
      </w:r>
      <w:r>
        <w:rPr>
          <w:rFonts w:hint="eastAsia" w:ascii="新宋体" w:hAnsi="新宋体" w:eastAsia="新宋体" w:cs="新宋体"/>
          <w:color w:val="000000"/>
          <w:sz w:val="28"/>
          <w:szCs w:val="28"/>
          <w:lang w:val="en-US" w:eastAsia="zh-CN"/>
        </w:rPr>
        <w:t>4</w:t>
      </w:r>
      <w:r>
        <w:rPr>
          <w:rFonts w:hint="eastAsia" w:ascii="新宋体" w:hAnsi="新宋体" w:eastAsia="新宋体" w:cs="新宋体"/>
          <w:color w:val="000000"/>
          <w:sz w:val="28"/>
          <w:szCs w:val="28"/>
        </w:rPr>
        <w:t>年港口货物吞吐量和集装箱吞吐量分别达到</w:t>
      </w:r>
      <w:r>
        <w:rPr>
          <w:rFonts w:hint="eastAsia" w:ascii="新宋体" w:hAnsi="新宋体" w:eastAsia="新宋体" w:cs="新宋体"/>
          <w:color w:val="000000"/>
          <w:sz w:val="28"/>
          <w:szCs w:val="28"/>
          <w:lang w:val="en-US" w:eastAsia="zh-CN"/>
        </w:rPr>
        <w:t>2.10</w:t>
      </w:r>
      <w:r>
        <w:rPr>
          <w:rFonts w:hint="eastAsia" w:ascii="新宋体" w:hAnsi="新宋体" w:eastAsia="新宋体" w:cs="新宋体"/>
          <w:color w:val="000000"/>
          <w:sz w:val="28"/>
          <w:szCs w:val="28"/>
        </w:rPr>
        <w:t>亿吨和</w:t>
      </w:r>
      <w:r>
        <w:rPr>
          <w:rFonts w:hint="eastAsia" w:ascii="新宋体" w:hAnsi="新宋体" w:eastAsia="新宋体" w:cs="新宋体"/>
          <w:color w:val="000000"/>
          <w:sz w:val="28"/>
          <w:szCs w:val="28"/>
          <w:lang w:val="en-US" w:eastAsia="zh-CN"/>
        </w:rPr>
        <w:t>500</w:t>
      </w:r>
      <w:r>
        <w:rPr>
          <w:rFonts w:hint="eastAsia" w:ascii="新宋体" w:hAnsi="新宋体" w:eastAsia="新宋体" w:cs="新宋体"/>
          <w:color w:val="000000"/>
          <w:sz w:val="28"/>
          <w:szCs w:val="28"/>
        </w:rPr>
        <w:t xml:space="preserve">万标箱。 </w:t>
      </w:r>
    </w:p>
    <w:p>
      <w:pPr>
        <w:ind w:firstLine="57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连云港港由海湾内的连云主体港区、南翼的徐圩和灌河港区、北翼的赣榆和前三岛港区共同组成的“一体两翼”总体格局已经基本形成。根据腹地国民经济与社会发展规划，综合分析影响港口吞吐量发展的各种相关因素，预测连云港港201</w:t>
      </w:r>
      <w:r>
        <w:rPr>
          <w:rFonts w:hint="eastAsia" w:ascii="新宋体" w:hAnsi="新宋体" w:eastAsia="新宋体" w:cs="新宋体"/>
          <w:color w:val="000000"/>
          <w:sz w:val="28"/>
          <w:szCs w:val="28"/>
          <w:lang w:val="en-US" w:eastAsia="zh-CN"/>
        </w:rPr>
        <w:t>5</w:t>
      </w:r>
      <w:r>
        <w:rPr>
          <w:rFonts w:hint="eastAsia" w:ascii="新宋体" w:hAnsi="新宋体" w:eastAsia="新宋体" w:cs="新宋体"/>
          <w:color w:val="000000"/>
          <w:sz w:val="28"/>
          <w:szCs w:val="28"/>
        </w:rPr>
        <w:t>及</w:t>
      </w:r>
      <w:r>
        <w:rPr>
          <w:rFonts w:hint="eastAsia" w:ascii="新宋体" w:hAnsi="新宋体" w:eastAsia="新宋体" w:cs="新宋体"/>
          <w:color w:val="000000"/>
          <w:sz w:val="28"/>
          <w:szCs w:val="28"/>
          <w:lang w:val="en-US" w:eastAsia="zh-CN"/>
        </w:rPr>
        <w:t>2016</w:t>
      </w:r>
      <w:r>
        <w:rPr>
          <w:rFonts w:hint="eastAsia" w:ascii="新宋体" w:hAnsi="新宋体" w:eastAsia="新宋体" w:cs="新宋体"/>
          <w:color w:val="000000"/>
          <w:sz w:val="28"/>
          <w:szCs w:val="28"/>
        </w:rPr>
        <w:t>年吞吐量将达</w:t>
      </w:r>
      <w:r>
        <w:rPr>
          <w:rFonts w:hint="eastAsia" w:ascii="新宋体" w:hAnsi="新宋体" w:eastAsia="新宋体" w:cs="新宋体"/>
          <w:color w:val="000000"/>
          <w:sz w:val="28"/>
          <w:szCs w:val="28"/>
          <w:lang w:val="en-US" w:eastAsia="zh-CN"/>
        </w:rPr>
        <w:t>2.2</w:t>
      </w:r>
      <w:r>
        <w:rPr>
          <w:rFonts w:hint="eastAsia" w:ascii="新宋体" w:hAnsi="新宋体" w:eastAsia="新宋体" w:cs="新宋体"/>
          <w:color w:val="000000"/>
          <w:sz w:val="28"/>
          <w:szCs w:val="28"/>
        </w:rPr>
        <w:t>亿吨和</w:t>
      </w:r>
      <w:r>
        <w:rPr>
          <w:rFonts w:hint="eastAsia" w:ascii="新宋体" w:hAnsi="新宋体" w:eastAsia="新宋体" w:cs="新宋体"/>
          <w:color w:val="000000"/>
          <w:sz w:val="28"/>
          <w:szCs w:val="28"/>
          <w:lang w:val="en-US" w:eastAsia="zh-CN"/>
        </w:rPr>
        <w:t>2.4</w:t>
      </w:r>
      <w:r>
        <w:rPr>
          <w:rFonts w:hint="eastAsia" w:ascii="新宋体" w:hAnsi="新宋体" w:eastAsia="新宋体" w:cs="新宋体"/>
          <w:color w:val="000000"/>
          <w:sz w:val="28"/>
          <w:szCs w:val="28"/>
        </w:rPr>
        <w:t>亿吨，其中集装箱吞吐量达</w:t>
      </w:r>
      <w:r>
        <w:rPr>
          <w:rFonts w:hint="eastAsia" w:ascii="新宋体" w:hAnsi="新宋体" w:eastAsia="新宋体" w:cs="新宋体"/>
          <w:color w:val="000000"/>
          <w:sz w:val="28"/>
          <w:szCs w:val="28"/>
          <w:lang w:val="en-US" w:eastAsia="zh-CN"/>
        </w:rPr>
        <w:t>540</w:t>
      </w:r>
      <w:r>
        <w:rPr>
          <w:rFonts w:hint="eastAsia" w:ascii="新宋体" w:hAnsi="新宋体" w:eastAsia="新宋体" w:cs="新宋体"/>
          <w:color w:val="000000"/>
          <w:sz w:val="28"/>
          <w:szCs w:val="28"/>
        </w:rPr>
        <w:t>万TEU和</w:t>
      </w:r>
      <w:r>
        <w:rPr>
          <w:rFonts w:hint="eastAsia" w:ascii="新宋体" w:hAnsi="新宋体" w:eastAsia="新宋体" w:cs="新宋体"/>
          <w:color w:val="000000"/>
          <w:sz w:val="28"/>
          <w:szCs w:val="28"/>
          <w:lang w:val="en-US" w:eastAsia="zh-CN"/>
        </w:rPr>
        <w:t>560</w:t>
      </w:r>
      <w:r>
        <w:rPr>
          <w:rFonts w:hint="eastAsia" w:ascii="新宋体" w:hAnsi="新宋体" w:eastAsia="新宋体" w:cs="新宋体"/>
          <w:color w:val="000000"/>
          <w:sz w:val="28"/>
          <w:szCs w:val="28"/>
        </w:rPr>
        <w:t>万TEU。</w:t>
      </w:r>
    </w:p>
    <w:p>
      <w:pPr>
        <w:ind w:firstLine="570"/>
        <w:rPr>
          <w:rFonts w:hint="eastAsia" w:ascii="新宋体" w:hAnsi="新宋体" w:eastAsia="新宋体" w:cs="新宋体"/>
          <w:color w:val="000000"/>
          <w:sz w:val="28"/>
          <w:szCs w:val="28"/>
        </w:rPr>
      </w:pPr>
      <w:r>
        <w:rPr>
          <w:rFonts w:hint="eastAsia" w:ascii="新宋体" w:hAnsi="新宋体" w:eastAsia="新宋体" w:cs="新宋体"/>
          <w:color w:val="000000"/>
          <w:sz w:val="30"/>
          <w:szCs w:val="30"/>
        </w:rPr>
        <w:t>连云港港区域</w:t>
      </w:r>
      <w:r>
        <w:rPr>
          <w:rFonts w:hint="eastAsia" w:ascii="新宋体" w:hAnsi="新宋体" w:eastAsia="新宋体" w:cs="新宋体"/>
          <w:color w:val="000000"/>
          <w:sz w:val="28"/>
          <w:szCs w:val="28"/>
        </w:rPr>
        <w:t>（见图1、图2、图3）：</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drawing>
          <wp:inline distT="0" distB="0" distL="114300" distR="114300">
            <wp:extent cx="6026785" cy="3910965"/>
            <wp:effectExtent l="0" t="0" r="12065" b="13335"/>
            <wp:docPr id="25" name="图片 1" descr="20060829152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20060829152100181"/>
                    <pic:cNvPicPr>
                      <a:picLocks noChangeAspect="1"/>
                    </pic:cNvPicPr>
                  </pic:nvPicPr>
                  <pic:blipFill>
                    <a:blip r:embed="rId4"/>
                    <a:stretch>
                      <a:fillRect/>
                    </a:stretch>
                  </pic:blipFill>
                  <pic:spPr>
                    <a:xfrm>
                      <a:off x="0" y="0"/>
                      <a:ext cx="6026785" cy="3910965"/>
                    </a:xfrm>
                    <a:prstGeom prst="rect">
                      <a:avLst/>
                    </a:prstGeom>
                    <a:noFill/>
                    <a:ln w="9525">
                      <a:noFill/>
                    </a:ln>
                  </pic:spPr>
                </pic:pic>
              </a:graphicData>
            </a:graphic>
          </wp:inline>
        </w:drawing>
      </w:r>
    </w:p>
    <w:p>
      <w:pPr>
        <w:ind w:firstLine="3360" w:firstLineChars="1600"/>
        <w:rPr>
          <w:rFonts w:hint="eastAsia" w:ascii="新宋体" w:hAnsi="新宋体" w:eastAsia="新宋体" w:cs="新宋体"/>
          <w:color w:val="000000"/>
          <w:szCs w:val="21"/>
        </w:rPr>
      </w:pPr>
      <w:r>
        <w:rPr>
          <w:rFonts w:hint="eastAsia" w:ascii="新宋体" w:hAnsi="新宋体" w:eastAsia="新宋体" w:cs="新宋体"/>
          <w:color w:val="000000"/>
          <w:szCs w:val="21"/>
        </w:rPr>
        <w:t>图1 连云港港图</w:t>
      </w:r>
    </w:p>
    <w:p>
      <w:pPr>
        <w:jc w:val="center"/>
        <w:rPr>
          <w:rFonts w:hint="eastAsia" w:ascii="新宋体" w:hAnsi="新宋体" w:eastAsia="新宋体" w:cs="新宋体"/>
          <w:vanish/>
          <w:color w:val="000000"/>
          <w:sz w:val="12"/>
          <w:szCs w:val="12"/>
        </w:rPr>
      </w:pPr>
    </w:p>
    <w:p>
      <w:pPr>
        <w:rPr>
          <w:rFonts w:hint="eastAsia" w:ascii="新宋体" w:hAnsi="新宋体" w:eastAsia="新宋体" w:cs="新宋体"/>
          <w:color w:val="000000"/>
          <w:sz w:val="14"/>
          <w:szCs w:val="14"/>
        </w:rPr>
      </w:pPr>
      <w:r>
        <w:rPr>
          <w:rFonts w:hint="eastAsia" w:ascii="新宋体" w:hAnsi="新宋体" w:eastAsia="新宋体" w:cs="新宋体"/>
          <w:color w:val="000000"/>
          <w:sz w:val="12"/>
          <w:szCs w:val="12"/>
        </w:rPr>
        <w:t xml:space="preserve"> </w:t>
      </w:r>
      <w:r>
        <w:rPr>
          <w:rFonts w:hint="eastAsia" w:ascii="新宋体" w:hAnsi="新宋体" w:eastAsia="新宋体" w:cs="新宋体"/>
          <w:color w:val="000000"/>
          <w:sz w:val="14"/>
          <w:szCs w:val="14"/>
        </w:rPr>
        <w:drawing>
          <wp:inline distT="0" distB="0" distL="114300" distR="114300">
            <wp:extent cx="6024880" cy="3867150"/>
            <wp:effectExtent l="0" t="0" r="13970" b="0"/>
            <wp:docPr id="26" name="图片 2"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age021"/>
                    <pic:cNvPicPr>
                      <a:picLocks noChangeAspect="1"/>
                    </pic:cNvPicPr>
                  </pic:nvPicPr>
                  <pic:blipFill>
                    <a:blip r:embed="rId5"/>
                    <a:stretch>
                      <a:fillRect/>
                    </a:stretch>
                  </pic:blipFill>
                  <pic:spPr>
                    <a:xfrm>
                      <a:off x="0" y="0"/>
                      <a:ext cx="6024880" cy="3867150"/>
                    </a:xfrm>
                    <a:prstGeom prst="rect">
                      <a:avLst/>
                    </a:prstGeom>
                    <a:noFill/>
                    <a:ln w="9525">
                      <a:noFill/>
                    </a:ln>
                  </pic:spPr>
                </pic:pic>
              </a:graphicData>
            </a:graphic>
          </wp:inline>
        </w:drawing>
      </w:r>
    </w:p>
    <w:p>
      <w:pPr>
        <w:ind w:firstLine="3360" w:firstLineChars="1600"/>
        <w:rPr>
          <w:rFonts w:hint="eastAsia" w:ascii="新宋体" w:hAnsi="新宋体" w:eastAsia="新宋体" w:cs="新宋体"/>
          <w:color w:val="000000"/>
          <w:szCs w:val="21"/>
        </w:rPr>
      </w:pPr>
      <w:r>
        <w:rPr>
          <w:rFonts w:hint="eastAsia" w:ascii="新宋体" w:hAnsi="新宋体" w:eastAsia="新宋体" w:cs="新宋体"/>
          <w:color w:val="000000"/>
          <w:szCs w:val="21"/>
        </w:rPr>
        <w:t>图2 连云港港图</w:t>
      </w:r>
    </w:p>
    <w:p>
      <w:pPr>
        <w:shd w:val="clear" w:color="auto" w:fill="FFFFFF"/>
        <w:rPr>
          <w:rFonts w:hint="eastAsia" w:ascii="新宋体" w:hAnsi="新宋体" w:eastAsia="新宋体" w:cs="新宋体"/>
          <w:color w:val="000000"/>
          <w:sz w:val="14"/>
          <w:szCs w:val="14"/>
        </w:rPr>
      </w:pPr>
      <w:r>
        <w:rPr>
          <w:rFonts w:hint="eastAsia" w:ascii="新宋体" w:hAnsi="新宋体" w:eastAsia="新宋体" w:cs="新宋体"/>
          <w:color w:val="000000"/>
          <w:sz w:val="12"/>
          <w:szCs w:val="12"/>
        </w:rPr>
        <w:drawing>
          <wp:inline distT="0" distB="0" distL="114300" distR="114300">
            <wp:extent cx="6021705" cy="3289300"/>
            <wp:effectExtent l="0" t="0" r="17145" b="6350"/>
            <wp:docPr id="27" name="图片 3" descr="20114815243050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201148152430508792"/>
                    <pic:cNvPicPr>
                      <a:picLocks noChangeAspect="1"/>
                    </pic:cNvPicPr>
                  </pic:nvPicPr>
                  <pic:blipFill>
                    <a:blip r:embed="rId6"/>
                    <a:stretch>
                      <a:fillRect/>
                    </a:stretch>
                  </pic:blipFill>
                  <pic:spPr>
                    <a:xfrm>
                      <a:off x="0" y="0"/>
                      <a:ext cx="6021705" cy="3289300"/>
                    </a:xfrm>
                    <a:prstGeom prst="rect">
                      <a:avLst/>
                    </a:prstGeom>
                    <a:noFill/>
                    <a:ln w="9525">
                      <a:noFill/>
                    </a:ln>
                  </pic:spPr>
                </pic:pic>
              </a:graphicData>
            </a:graphic>
          </wp:inline>
        </w:drawing>
      </w:r>
    </w:p>
    <w:p>
      <w:pPr>
        <w:rPr>
          <w:rFonts w:hint="eastAsia" w:ascii="新宋体" w:hAnsi="新宋体" w:eastAsia="新宋体" w:cs="新宋体"/>
          <w:color w:val="000000"/>
          <w:sz w:val="12"/>
          <w:szCs w:val="12"/>
        </w:rPr>
      </w:pPr>
    </w:p>
    <w:p>
      <w:pPr>
        <w:ind w:firstLine="3465" w:firstLineChars="1650"/>
        <w:rPr>
          <w:rFonts w:hint="eastAsia" w:ascii="新宋体" w:hAnsi="新宋体" w:eastAsia="新宋体" w:cs="新宋体"/>
          <w:color w:val="000000"/>
          <w:szCs w:val="21"/>
        </w:rPr>
      </w:pPr>
      <w:r>
        <w:rPr>
          <w:rFonts w:hint="eastAsia" w:ascii="新宋体" w:hAnsi="新宋体" w:eastAsia="新宋体" w:cs="新宋体"/>
          <w:color w:val="000000"/>
          <w:szCs w:val="21"/>
        </w:rPr>
        <w:t>图3 连云港港图</w:t>
      </w:r>
    </w:p>
    <w:p>
      <w:pPr>
        <w:shd w:val="clear" w:color="auto" w:fill="FFFFFF"/>
        <w:rPr>
          <w:rFonts w:hint="eastAsia" w:ascii="新宋体" w:hAnsi="新宋体" w:eastAsia="新宋体" w:cs="新宋体"/>
          <w:vanish/>
          <w:color w:val="000000"/>
          <w:sz w:val="14"/>
          <w:szCs w:val="14"/>
        </w:rPr>
      </w:pPr>
      <w:r>
        <w:rPr>
          <w:rFonts w:hint="eastAsia" w:ascii="新宋体" w:hAnsi="新宋体" w:eastAsia="新宋体" w:cs="新宋体"/>
          <w:vanish/>
          <w:color w:val="000000"/>
          <w:sz w:val="14"/>
          <w:szCs w:val="14"/>
        </w:rPr>
        <w:fldChar w:fldCharType="begin"/>
      </w:r>
      <w:r>
        <w:rPr>
          <w:rFonts w:hint="eastAsia" w:ascii="新宋体" w:hAnsi="新宋体" w:eastAsia="新宋体" w:cs="新宋体"/>
          <w:vanish/>
          <w:color w:val="000000"/>
          <w:sz w:val="14"/>
          <w:szCs w:val="14"/>
        </w:rPr>
        <w:instrText xml:space="preserve"> HYPERLINK "javascript:void(0);" </w:instrText>
      </w:r>
      <w:r>
        <w:rPr>
          <w:rFonts w:hint="eastAsia" w:ascii="新宋体" w:hAnsi="新宋体" w:eastAsia="新宋体" w:cs="新宋体"/>
          <w:vanish/>
          <w:color w:val="000000"/>
          <w:sz w:val="14"/>
          <w:szCs w:val="14"/>
        </w:rPr>
        <w:fldChar w:fldCharType="separate"/>
      </w:r>
      <w:r>
        <w:rPr>
          <w:rFonts w:hint="eastAsia" w:ascii="新宋体" w:hAnsi="新宋体" w:eastAsia="新宋体" w:cs="新宋体"/>
          <w:vanish/>
          <w:color w:val="000000"/>
          <w:sz w:val="14"/>
          <w:szCs w:val="14"/>
        </w:rPr>
        <w:fldChar w:fldCharType="end"/>
      </w:r>
      <w:r>
        <w:rPr>
          <w:rFonts w:hint="eastAsia" w:ascii="新宋体" w:hAnsi="新宋体" w:eastAsia="新宋体" w:cs="新宋体"/>
          <w:vanish/>
          <w:color w:val="000000"/>
          <w:sz w:val="14"/>
          <w:szCs w:val="14"/>
        </w:rPr>
        <w:fldChar w:fldCharType="begin"/>
      </w:r>
      <w:r>
        <w:rPr>
          <w:rFonts w:hint="eastAsia" w:ascii="新宋体" w:hAnsi="新宋体" w:eastAsia="新宋体" w:cs="新宋体"/>
          <w:vanish/>
          <w:color w:val="000000"/>
          <w:sz w:val="14"/>
          <w:szCs w:val="14"/>
        </w:rPr>
        <w:instrText xml:space="preserve"> HYPERLINK "javascript:void(0);" </w:instrText>
      </w:r>
      <w:r>
        <w:rPr>
          <w:rFonts w:hint="eastAsia" w:ascii="新宋体" w:hAnsi="新宋体" w:eastAsia="新宋体" w:cs="新宋体"/>
          <w:vanish/>
          <w:color w:val="000000"/>
          <w:sz w:val="14"/>
          <w:szCs w:val="14"/>
        </w:rPr>
        <w:fldChar w:fldCharType="separate"/>
      </w:r>
      <w:r>
        <w:rPr>
          <w:rFonts w:hint="eastAsia" w:ascii="新宋体" w:hAnsi="新宋体" w:eastAsia="新宋体" w:cs="新宋体"/>
          <w:vanish/>
          <w:color w:val="000000"/>
          <w:sz w:val="14"/>
          <w:szCs w:val="14"/>
        </w:rPr>
        <w:fldChar w:fldCharType="end"/>
      </w:r>
    </w:p>
    <w:p>
      <w:pPr>
        <w:shd w:val="clear" w:color="auto" w:fill="FFFFFF"/>
        <w:rPr>
          <w:rFonts w:hint="eastAsia" w:ascii="新宋体" w:hAnsi="新宋体" w:eastAsia="新宋体" w:cs="新宋体"/>
          <w:vanish/>
          <w:color w:val="000000"/>
          <w:sz w:val="14"/>
          <w:szCs w:val="14"/>
        </w:rPr>
      </w:pPr>
      <w:r>
        <w:rPr>
          <w:rFonts w:hint="eastAsia" w:ascii="新宋体" w:hAnsi="新宋体" w:eastAsia="新宋体" w:cs="新宋体"/>
          <w:vanish/>
          <w:color w:val="000000"/>
          <w:sz w:val="14"/>
          <w:szCs w:val="14"/>
        </w:rPr>
        <w:fldChar w:fldCharType="begin"/>
      </w:r>
      <w:r>
        <w:rPr>
          <w:rFonts w:hint="eastAsia" w:ascii="新宋体" w:hAnsi="新宋体" w:eastAsia="新宋体" w:cs="新宋体"/>
          <w:vanish/>
          <w:color w:val="000000"/>
          <w:sz w:val="14"/>
          <w:szCs w:val="14"/>
        </w:rPr>
        <w:instrText xml:space="preserve"> INCLUDEPICTURE "http://imgsrc.baidu.com/baike/abpic/item/9c57e3fa712a6e97b58f3162.jpg" \* MERGEFORMATINET </w:instrText>
      </w:r>
      <w:r>
        <w:rPr>
          <w:rFonts w:hint="eastAsia" w:ascii="新宋体" w:hAnsi="新宋体" w:eastAsia="新宋体" w:cs="新宋体"/>
          <w:vanish/>
          <w:color w:val="000000"/>
          <w:sz w:val="14"/>
          <w:szCs w:val="14"/>
        </w:rPr>
        <w:fldChar w:fldCharType="separate"/>
      </w:r>
      <w:r>
        <w:rPr>
          <w:rFonts w:hint="eastAsia" w:ascii="新宋体" w:hAnsi="新宋体" w:eastAsia="新宋体" w:cs="新宋体"/>
          <w:vanish/>
          <w:color w:val="000000"/>
          <w:sz w:val="14"/>
          <w:szCs w:val="14"/>
        </w:rPr>
        <w:drawing>
          <wp:inline distT="0" distB="0" distL="114300" distR="114300">
            <wp:extent cx="723900" cy="477520"/>
            <wp:effectExtent l="0" t="0" r="0" b="17780"/>
            <wp:docPr id="28" name="图片 4" descr="9c57e3fa712a6e97b58f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9c57e3fa712a6e97b58f3162"/>
                    <pic:cNvPicPr>
                      <a:picLocks noChangeAspect="1"/>
                    </pic:cNvPicPr>
                  </pic:nvPicPr>
                  <pic:blipFill>
                    <a:blip r:embed="rId7"/>
                    <a:stretch>
                      <a:fillRect/>
                    </a:stretch>
                  </pic:blipFill>
                  <pic:spPr>
                    <a:xfrm>
                      <a:off x="0" y="0"/>
                      <a:ext cx="723900" cy="477520"/>
                    </a:xfrm>
                    <a:prstGeom prst="rect">
                      <a:avLst/>
                    </a:prstGeom>
                    <a:noFill/>
                    <a:ln w="9525">
                      <a:noFill/>
                    </a:ln>
                  </pic:spPr>
                </pic:pic>
              </a:graphicData>
            </a:graphic>
          </wp:inline>
        </w:drawing>
      </w:r>
      <w:r>
        <w:rPr>
          <w:rFonts w:hint="eastAsia" w:ascii="新宋体" w:hAnsi="新宋体" w:eastAsia="新宋体" w:cs="新宋体"/>
          <w:vanish/>
          <w:color w:val="000000"/>
          <w:sz w:val="14"/>
          <w:szCs w:val="14"/>
        </w:rPr>
        <w:fldChar w:fldCharType="end"/>
      </w:r>
    </w:p>
    <w:p>
      <w:pPr>
        <w:shd w:val="clear" w:color="auto" w:fill="FFFFFF"/>
        <w:rPr>
          <w:rFonts w:hint="eastAsia" w:ascii="新宋体" w:hAnsi="新宋体" w:eastAsia="新宋体" w:cs="新宋体"/>
          <w:vanish/>
          <w:color w:val="000000"/>
          <w:sz w:val="14"/>
          <w:szCs w:val="14"/>
        </w:rPr>
      </w:pPr>
      <w:r>
        <w:rPr>
          <w:rFonts w:hint="eastAsia" w:ascii="新宋体" w:hAnsi="新宋体" w:eastAsia="新宋体" w:cs="新宋体"/>
          <w:vanish/>
          <w:color w:val="000000"/>
          <w:sz w:val="14"/>
          <w:szCs w:val="14"/>
        </w:rPr>
        <w:t>港口景象</w:t>
      </w:r>
      <w:r>
        <w:rPr>
          <w:rStyle w:val="6"/>
          <w:rFonts w:hint="eastAsia" w:ascii="新宋体" w:hAnsi="新宋体" w:eastAsia="新宋体" w:cs="新宋体"/>
          <w:vanish/>
          <w:sz w:val="14"/>
          <w:szCs w:val="14"/>
        </w:rPr>
        <w:t>(20张)</w:t>
      </w:r>
    </w:p>
    <w:p>
      <w:pPr>
        <w:shd w:val="clear" w:color="auto" w:fill="FFFFFF"/>
        <w:rPr>
          <w:rFonts w:hint="eastAsia" w:ascii="新宋体" w:hAnsi="新宋体" w:eastAsia="新宋体" w:cs="新宋体"/>
          <w:vanish/>
          <w:color w:val="000000"/>
          <w:sz w:val="14"/>
          <w:szCs w:val="14"/>
        </w:rPr>
      </w:pPr>
      <w:r>
        <w:rPr>
          <w:rFonts w:hint="eastAsia" w:ascii="新宋体" w:hAnsi="新宋体" w:eastAsia="新宋体" w:cs="新宋体"/>
          <w:vanish/>
          <w:color w:val="000000"/>
          <w:sz w:val="14"/>
          <w:szCs w:val="14"/>
        </w:rPr>
        <w:fldChar w:fldCharType="begin"/>
      </w:r>
      <w:r>
        <w:rPr>
          <w:rFonts w:hint="eastAsia" w:ascii="新宋体" w:hAnsi="新宋体" w:eastAsia="新宋体" w:cs="新宋体"/>
          <w:vanish/>
          <w:color w:val="000000"/>
          <w:sz w:val="14"/>
          <w:szCs w:val="14"/>
        </w:rPr>
        <w:instrText xml:space="preserve"> INCLUDEPICTURE "http://imgsrc.baidu.com/baike/abpic/item/aa59892b8c6241b7e6cd4097.jpg" \* MERGEFORMATINET </w:instrText>
      </w:r>
      <w:r>
        <w:rPr>
          <w:rFonts w:hint="eastAsia" w:ascii="新宋体" w:hAnsi="新宋体" w:eastAsia="新宋体" w:cs="新宋体"/>
          <w:vanish/>
          <w:color w:val="000000"/>
          <w:sz w:val="14"/>
          <w:szCs w:val="14"/>
        </w:rPr>
        <w:fldChar w:fldCharType="separate"/>
      </w:r>
      <w:r>
        <w:rPr>
          <w:rFonts w:hint="eastAsia" w:ascii="新宋体" w:hAnsi="新宋体" w:eastAsia="新宋体" w:cs="新宋体"/>
          <w:vanish/>
          <w:color w:val="000000"/>
          <w:sz w:val="14"/>
          <w:szCs w:val="14"/>
        </w:rPr>
        <w:drawing>
          <wp:inline distT="0" distB="0" distL="114300" distR="114300">
            <wp:extent cx="723900" cy="477520"/>
            <wp:effectExtent l="0" t="0" r="0" b="17780"/>
            <wp:docPr id="29" name="图片 5" descr="aa59892b8c6241b7e6cd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aa59892b8c6241b7e6cd4097"/>
                    <pic:cNvPicPr>
                      <a:picLocks noChangeAspect="1"/>
                    </pic:cNvPicPr>
                  </pic:nvPicPr>
                  <pic:blipFill>
                    <a:blip r:embed="rId8"/>
                    <a:stretch>
                      <a:fillRect/>
                    </a:stretch>
                  </pic:blipFill>
                  <pic:spPr>
                    <a:xfrm>
                      <a:off x="0" y="0"/>
                      <a:ext cx="723900" cy="477520"/>
                    </a:xfrm>
                    <a:prstGeom prst="rect">
                      <a:avLst/>
                    </a:prstGeom>
                    <a:noFill/>
                    <a:ln w="9525">
                      <a:noFill/>
                    </a:ln>
                  </pic:spPr>
                </pic:pic>
              </a:graphicData>
            </a:graphic>
          </wp:inline>
        </w:drawing>
      </w:r>
      <w:r>
        <w:rPr>
          <w:rFonts w:hint="eastAsia" w:ascii="新宋体" w:hAnsi="新宋体" w:eastAsia="新宋体" w:cs="新宋体"/>
          <w:vanish/>
          <w:color w:val="000000"/>
          <w:sz w:val="14"/>
          <w:szCs w:val="14"/>
        </w:rPr>
        <w:fldChar w:fldCharType="end"/>
      </w:r>
    </w:p>
    <w:p>
      <w:pPr>
        <w:ind w:firstLine="3360" w:firstLineChars="1600"/>
        <w:rPr>
          <w:rFonts w:hint="eastAsia" w:ascii="新宋体" w:hAnsi="新宋体" w:eastAsia="新宋体" w:cs="新宋体"/>
          <w:color w:val="000000"/>
          <w:szCs w:val="21"/>
        </w:rPr>
      </w:pP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1.1.3连云港港应急策略</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1.1.3.1溢油应急设备库的设置</w:t>
      </w:r>
    </w:p>
    <w:p>
      <w:pPr>
        <w:ind w:firstLine="560" w:firstLineChars="20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在连云区大港路东经119.20.20北纬34.42.21设立溢油应急设备库。</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1.1.3.2应急船舶的布防</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1.1.3.2.1在连云港渔业码头停靠了一艘溢油应急船舶和三艘辅助船舶。</w:t>
      </w:r>
    </w:p>
    <w:p>
      <w:pPr>
        <w:spacing w:line="480" w:lineRule="exact"/>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1.1.3.2.2在连云港市在海一方海域布放三艘溢油应急辅助船。</w:t>
      </w:r>
    </w:p>
    <w:p>
      <w:pPr>
        <w:spacing w:line="480" w:lineRule="exact"/>
        <w:rPr>
          <w:rFonts w:hint="eastAsia" w:ascii="新宋体" w:hAnsi="新宋体" w:eastAsia="新宋体" w:cs="新宋体"/>
          <w:b/>
          <w:sz w:val="28"/>
          <w:szCs w:val="28"/>
        </w:rPr>
      </w:pPr>
      <w:r>
        <w:rPr>
          <w:rFonts w:hint="eastAsia" w:ascii="新宋体" w:hAnsi="新宋体" w:eastAsia="新宋体" w:cs="新宋体"/>
          <w:b/>
          <w:color w:val="000000"/>
          <w:sz w:val="28"/>
          <w:szCs w:val="28"/>
        </w:rPr>
        <w:t>1.1.3.3</w:t>
      </w:r>
      <w:r>
        <w:rPr>
          <w:rFonts w:hint="eastAsia" w:ascii="新宋体" w:hAnsi="新宋体" w:eastAsia="新宋体" w:cs="新宋体"/>
          <w:b/>
          <w:sz w:val="28"/>
          <w:szCs w:val="28"/>
        </w:rPr>
        <w:t xml:space="preserve"> 应急清污组织机构管理</w:t>
      </w:r>
    </w:p>
    <w:p>
      <w:pPr>
        <w:spacing w:line="480" w:lineRule="exact"/>
        <w:ind w:firstLine="560" w:firstLineChars="200"/>
        <w:rPr>
          <w:rFonts w:hint="eastAsia" w:ascii="新宋体" w:hAnsi="新宋体" w:eastAsia="新宋体" w:cs="新宋体"/>
          <w:b/>
          <w:color w:val="000000"/>
          <w:sz w:val="28"/>
          <w:szCs w:val="28"/>
        </w:rPr>
      </w:pPr>
      <w:r>
        <w:rPr>
          <w:rFonts w:hint="eastAsia" w:ascii="新宋体" w:hAnsi="新宋体" w:eastAsia="新宋体" w:cs="新宋体"/>
          <w:color w:val="000000"/>
          <w:sz w:val="28"/>
          <w:szCs w:val="28"/>
        </w:rPr>
        <w:t>有40名应急人员，其中4名高级指挥人员、6名现场指挥人员、30名现场操作人员。</w:t>
      </w:r>
    </w:p>
    <w:p>
      <w:pPr>
        <w:spacing w:line="480" w:lineRule="exact"/>
        <w:jc w:val="center"/>
        <w:rPr>
          <w:rFonts w:hint="eastAsia" w:ascii="新宋体" w:hAnsi="新宋体" w:eastAsia="新宋体" w:cs="新宋体"/>
          <w:color w:val="000000"/>
          <w:sz w:val="28"/>
          <w:szCs w:val="28"/>
        </w:rPr>
      </w:pPr>
      <w:r>
        <w:rPr>
          <w:rFonts w:hint="eastAsia" w:ascii="新宋体" w:hAnsi="新宋体" w:eastAsia="新宋体" w:cs="新宋体"/>
          <w:b/>
          <w:color w:val="000000"/>
          <w:sz w:val="28"/>
          <w:szCs w:val="28"/>
        </w:rPr>
        <w:t>应急清污组织机构</w:t>
      </w:r>
    </w:p>
    <w:p>
      <w:pPr>
        <w:rPr>
          <w:rFonts w:hint="eastAsia" w:ascii="新宋体" w:hAnsi="新宋体" w:eastAsia="新宋体" w:cs="新宋体"/>
          <w:b/>
          <w:color w:val="000000"/>
          <w:sz w:val="28"/>
          <w:szCs w:val="28"/>
        </w:rPr>
      </w:pPr>
      <w:r>
        <w:rPr>
          <w:rFonts w:hint="eastAsia" w:ascii="新宋体" w:hAnsi="新宋体" w:eastAsia="新宋体" w:cs="新宋体"/>
        </w:rPr>
        <w:drawing>
          <wp:inline distT="0" distB="0" distL="114300" distR="114300">
            <wp:extent cx="6067425" cy="3924300"/>
            <wp:effectExtent l="0" t="0" r="85725" b="0"/>
            <wp:docPr id="30" name="图片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Pr>
          <w:rFonts w:hint="eastAsia" w:ascii="新宋体" w:hAnsi="新宋体" w:eastAsia="新宋体" w:cs="新宋体"/>
          <w:b/>
          <w:color w:val="000000"/>
          <w:sz w:val="28"/>
          <w:szCs w:val="28"/>
        </w:rPr>
        <w:t>1.1.3.4应急清污组织职责</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1.1.3.4.1总指挥</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（1）负责应急清污的指挥、控制和协调；</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（2）负责与海事部门及相关单位的联系；</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（3）第一总指挥不在岗时，第二总指挥接替总指挥的岗位。</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6778625</wp:posOffset>
                </wp:positionH>
                <wp:positionV relativeFrom="paragraph">
                  <wp:posOffset>518160</wp:posOffset>
                </wp:positionV>
                <wp:extent cx="635" cy="396240"/>
                <wp:effectExtent l="37465" t="0" r="38100" b="3810"/>
                <wp:wrapNone/>
                <wp:docPr id="31" name="直线 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 o:spid="_x0000_s1026" o:spt="20" style="position:absolute;left:0pt;margin-left:533.75pt;margin-top:40.8pt;height:31.2pt;width:0.05pt;z-index:251660288;mso-width-relative:page;mso-height-relative:page;" filled="f" stroked="t" coordsize="21600,21600" o:gfxdata="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qzz6baAAAADAEAAA8AAAAAAAAA&#10;AQAgAAAAIgAAAGRycy9kb3ducmV2LnhtbFBLAQIUABQAAAAIAIdO4kCRiaft1gEAAJMDAAAOAAAA&#10;AAAAAAEAIAAAACkBAABkcnMvZTJvRG9jLnhtbFBLBQYAAAAABgAGAFkBAABxBQAAAAA=&#10;">
                <v:fill on="f" focussize="0,0"/>
                <v:stroke color="#000000" joinstyle="round" endarrow="block"/>
                <v:imagedata o:title=""/>
                <o:lock v:ext="edit" aspectratio="f"/>
              </v:line>
            </w:pict>
          </mc:Fallback>
        </mc:AlternateContent>
      </w:r>
      <w:r>
        <w:rPr>
          <w:rFonts w:hint="eastAsia" w:ascii="新宋体" w:hAnsi="新宋体" w:eastAsia="新宋体" w:cs="新宋体"/>
          <w:b/>
          <w:color w:val="000000"/>
          <w:sz w:val="28"/>
          <w:szCs w:val="28"/>
        </w:rPr>
        <w:t>1.1.3.4.2值班人员</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（1）负责接听应急电话；</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（2）负责做好应急电话记录；</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（3）立即向总指挥详细报告应急事故情况。</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1.1.3.4.3现场指挥人员</w:t>
      </w:r>
    </w:p>
    <w:p>
      <w:pPr>
        <w:rPr>
          <w:rFonts w:hint="eastAsia" w:ascii="新宋体" w:hAnsi="新宋体" w:eastAsia="新宋体" w:cs="新宋体"/>
          <w:b/>
          <w:color w:val="000000"/>
          <w:sz w:val="28"/>
          <w:szCs w:val="28"/>
        </w:rPr>
      </w:pPr>
      <w:r>
        <w:rPr>
          <w:rFonts w:hint="eastAsia" w:ascii="新宋体" w:hAnsi="新宋体" w:eastAsia="新宋体" w:cs="新宋体"/>
          <w:color w:val="000000"/>
          <w:sz w:val="28"/>
          <w:szCs w:val="28"/>
        </w:rPr>
        <w:t>（1）负责应急清污现场的指挥、控制和协调工作；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（2）负责与总指挥的联系及相关人员的协调；</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（3）负责应急清污现场的安全和观察；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（4）负责应急清污现场的作业调整；</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（5）负责应急清污现场的二次污染的预防措施的保证。</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1.1.3.4.4设备保障人员</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（1）负责应急清污设备的保障工作；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（2）负责应急清污现场的设备和材料的补充工作；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（3）负责应急清污现场的设备的维护工作。</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1.1.3.4.5通讯保障人员</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（1）负责应急清污现场的通讯保障工作；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（2）在第一套通讯出现故障时，确保第二套通讯措施的实施。</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1.1.3.4.6后勤保障人员</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（1）负责应急清污现场的运输保持工作；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（2）负责应急清污人员的医疗保障工作；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（3）负责应急清污人员的食品和饮水保证。</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1.1.3.4.7各应急清污船舶的船长</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（1）服从总指挥和现场指挥人员的指令，快速到达应急清污现场；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（2）听从现场指挥的指令，将溢油进行围控、回收和清除；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（3）负责防止二次污染的发生。</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1.1.3.4.8安全观察员</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(1)负责与现场指挥保持联系；</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(2)应急清污作业时负责对作业环境的观察和了解；</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(3)负责对作业人员作业区域的确定和划分，特别是禁止地带的确定；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(4)负责作业人员在作业时是否进入危险地带的通知；</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(5)负责上部和下部的危险程度，保证在悬崖上下方作业员工的安全；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(6)负责作业人员在水中作业时，不要越过危险区域的喊叫和通知。</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1.1.3.4.9应急翻译人员</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熟悉应急清污相关法律法规及公司规定的应急程序；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熟悉应急清污专业用语；</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能有效与外籍船方人员进行沟通。</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1.1.3.4.10应急作业小组及人员</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平时作好训练，随时响应应急准备，做到召之即来，来之能战，战之能胜；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应急作业人员应穿好工作服、救生衣、戴安全帽、防滑靴、戴手套，必要时要佩戴眼镜、呼吸器；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应急作业时应按照操作规程作业，不得违规操作；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布放围油栏时，注意每节之间的连接相扣、节与节之间不要卷绕，并注意安全，防止掉入海中；</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布放撇油器时，注意按操作规程操作。注意安全，避免磕碰受伤；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 投放吸油毡时，要将吸油毡一张一张掀开后，再投放入油层较厚的海中，投入后，应将吸油毡在油层处不断翻动，吸满油后再将吸油毡打捞上岸，装入垃圾袋，防止二次污染；</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 喷洒溢油分散剂时，要注意风向，分散剂要均匀洒在油层上；喷洒时，注意防止将分散剂吸入体内；</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 使用热水清洗机时，注意水的压力和温度，防止被高压水枪冲击和烫伤；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 在水中作业时，要注意防止油上岸，如果油层太厚，禁止在水中作业；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(10)岸滩作业时，使用设备清除油污时，需要放置在地上的设备应找好固定点，防止设备反倒，出现意外；</w:t>
      </w:r>
    </w:p>
    <w:p>
      <w:pPr>
        <w:rPr>
          <w:rFonts w:hint="eastAsia" w:ascii="新宋体" w:hAnsi="新宋体" w:eastAsia="新宋体" w:cs="新宋体"/>
          <w:color w:val="000000"/>
          <w:sz w:val="28"/>
          <w:szCs w:val="28"/>
        </w:rPr>
      </w:pPr>
      <w:r>
        <w:rPr>
          <w:rFonts w:hint="eastAsia" w:ascii="新宋体" w:hAnsi="新宋体" w:eastAsia="新宋体" w:cs="新宋体"/>
          <w:sz w:val="28"/>
          <w:szCs w:val="28"/>
        </w:rPr>
        <w:t>(11)岸线油污清除作业时，注意悬崖、沼泽地等危险地带。</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1.2应急防备和应急处置</w:t>
      </w:r>
    </w:p>
    <w:p>
      <w:pPr>
        <w:rPr>
          <w:rFonts w:hint="eastAsia" w:ascii="新宋体" w:hAnsi="新宋体" w:eastAsia="新宋体" w:cs="新宋体"/>
          <w:b/>
          <w:sz w:val="28"/>
          <w:szCs w:val="28"/>
        </w:rPr>
      </w:pPr>
      <w:r>
        <w:rPr>
          <w:rFonts w:hint="eastAsia" w:ascii="新宋体" w:hAnsi="新宋体" w:eastAsia="新宋体" w:cs="新宋体"/>
          <w:b/>
          <w:color w:val="000000"/>
          <w:sz w:val="28"/>
          <w:szCs w:val="28"/>
        </w:rPr>
        <w:t>1.2.1</w:t>
      </w:r>
      <w:r>
        <w:rPr>
          <w:rFonts w:hint="eastAsia" w:ascii="新宋体" w:hAnsi="新宋体" w:eastAsia="新宋体" w:cs="新宋体"/>
          <w:b/>
          <w:sz w:val="28"/>
          <w:szCs w:val="28"/>
        </w:rPr>
        <w:t xml:space="preserve"> 应急事故</w:t>
      </w:r>
    </w:p>
    <w:p>
      <w:pPr>
        <w:rPr>
          <w:rFonts w:hint="eastAsia" w:ascii="新宋体" w:hAnsi="新宋体" w:eastAsia="新宋体" w:cs="新宋体"/>
          <w:sz w:val="28"/>
          <w:szCs w:val="28"/>
        </w:rPr>
      </w:pPr>
      <w:r>
        <w:rPr>
          <w:rFonts w:hint="eastAsia" w:ascii="新宋体" w:hAnsi="新宋体" w:eastAsia="新宋体" w:cs="新宋体"/>
          <w:color w:val="000000"/>
          <w:sz w:val="28"/>
          <w:szCs w:val="28"/>
        </w:rPr>
        <w:t>1.2.1.1</w:t>
      </w:r>
      <w:r>
        <w:rPr>
          <w:rFonts w:hint="eastAsia" w:ascii="新宋体" w:hAnsi="新宋体" w:eastAsia="新宋体" w:cs="新宋体"/>
          <w:sz w:val="28"/>
          <w:szCs w:val="28"/>
        </w:rPr>
        <w:t>为确保潜在的事故或紧急情况得到控制，并在发生时立即做出响应，从而控制、减少或消除事故发生后可能伴随的环境影响</w:t>
      </w:r>
    </w:p>
    <w:p>
      <w:pPr>
        <w:rPr>
          <w:rFonts w:hint="eastAsia" w:ascii="新宋体" w:hAnsi="新宋体" w:eastAsia="新宋体" w:cs="新宋体"/>
          <w:sz w:val="28"/>
          <w:szCs w:val="28"/>
        </w:rPr>
      </w:pPr>
      <w:r>
        <w:rPr>
          <w:rFonts w:hint="eastAsia" w:ascii="新宋体" w:hAnsi="新宋体" w:eastAsia="新宋体" w:cs="新宋体"/>
          <w:color w:val="000000"/>
          <w:sz w:val="28"/>
          <w:szCs w:val="28"/>
        </w:rPr>
        <w:t>1.2.1.2</w:t>
      </w:r>
      <w:r>
        <w:rPr>
          <w:rFonts w:hint="eastAsia" w:ascii="新宋体" w:hAnsi="新宋体" w:eastAsia="新宋体" w:cs="新宋体"/>
          <w:sz w:val="28"/>
          <w:szCs w:val="28"/>
        </w:rPr>
        <w:t xml:space="preserve"> 潜在事故的确定</w:t>
      </w:r>
    </w:p>
    <w:p>
      <w:pPr>
        <w:rPr>
          <w:rFonts w:hint="eastAsia" w:ascii="新宋体" w:hAnsi="新宋体" w:eastAsia="新宋体" w:cs="新宋体"/>
          <w:sz w:val="28"/>
          <w:szCs w:val="28"/>
        </w:rPr>
      </w:pPr>
      <w:r>
        <w:rPr>
          <w:rFonts w:hint="eastAsia" w:ascii="新宋体" w:hAnsi="新宋体" w:eastAsia="新宋体" w:cs="新宋体"/>
          <w:sz w:val="28"/>
          <w:szCs w:val="28"/>
        </w:rPr>
        <w:t>(1) 因火灾导致船舶溢油；</w:t>
      </w:r>
    </w:p>
    <w:p>
      <w:pPr>
        <w:rPr>
          <w:rFonts w:hint="eastAsia" w:ascii="新宋体" w:hAnsi="新宋体" w:eastAsia="新宋体" w:cs="新宋体"/>
          <w:sz w:val="28"/>
          <w:szCs w:val="28"/>
        </w:rPr>
      </w:pPr>
      <w:r>
        <w:rPr>
          <w:rFonts w:hint="eastAsia" w:ascii="新宋体" w:hAnsi="新宋体" w:eastAsia="新宋体" w:cs="新宋体"/>
          <w:sz w:val="28"/>
          <w:szCs w:val="28"/>
        </w:rPr>
        <w:t>(2) 因船舶碰撞导致海上溢油；</w:t>
      </w:r>
    </w:p>
    <w:p>
      <w:pPr>
        <w:rPr>
          <w:rFonts w:hint="eastAsia" w:ascii="新宋体" w:hAnsi="新宋体" w:eastAsia="新宋体" w:cs="新宋体"/>
          <w:sz w:val="28"/>
          <w:szCs w:val="28"/>
        </w:rPr>
      </w:pPr>
      <w:r>
        <w:rPr>
          <w:rFonts w:hint="eastAsia" w:ascii="新宋体" w:hAnsi="新宋体" w:eastAsia="新宋体" w:cs="新宋体"/>
          <w:sz w:val="28"/>
          <w:szCs w:val="28"/>
        </w:rPr>
        <w:t>(3) 集装箱里的化学品泄漏；</w:t>
      </w:r>
    </w:p>
    <w:p>
      <w:pPr>
        <w:rPr>
          <w:rFonts w:hint="eastAsia" w:ascii="新宋体" w:hAnsi="新宋体" w:eastAsia="新宋体" w:cs="新宋体"/>
          <w:sz w:val="28"/>
          <w:szCs w:val="28"/>
        </w:rPr>
      </w:pPr>
      <w:r>
        <w:rPr>
          <w:rFonts w:hint="eastAsia" w:ascii="新宋体" w:hAnsi="新宋体" w:eastAsia="新宋体" w:cs="新宋体"/>
          <w:sz w:val="28"/>
          <w:szCs w:val="28"/>
        </w:rPr>
        <w:t>(4) 因热带气旋的影响，导致海上溢油。</w:t>
      </w:r>
    </w:p>
    <w:p>
      <w:pPr>
        <w:rPr>
          <w:rFonts w:hint="eastAsia" w:ascii="新宋体" w:hAnsi="新宋体" w:eastAsia="新宋体" w:cs="新宋体"/>
          <w:b/>
          <w:sz w:val="28"/>
          <w:szCs w:val="28"/>
        </w:rPr>
      </w:pPr>
      <w:r>
        <w:rPr>
          <w:rFonts w:hint="eastAsia" w:ascii="新宋体" w:hAnsi="新宋体" w:eastAsia="新宋体" w:cs="新宋体"/>
          <w:b/>
          <w:color w:val="000000"/>
          <w:sz w:val="28"/>
          <w:szCs w:val="28"/>
        </w:rPr>
        <w:t>1.2.2</w:t>
      </w:r>
      <w:r>
        <w:rPr>
          <w:rFonts w:hint="eastAsia" w:ascii="新宋体" w:hAnsi="新宋体" w:eastAsia="新宋体" w:cs="新宋体"/>
          <w:b/>
          <w:sz w:val="28"/>
          <w:szCs w:val="28"/>
        </w:rPr>
        <w:t>应急预案</w:t>
      </w:r>
    </w:p>
    <w:p>
      <w:pPr>
        <w:rPr>
          <w:rFonts w:hint="eastAsia" w:ascii="新宋体" w:hAnsi="新宋体" w:eastAsia="新宋体" w:cs="新宋体"/>
          <w:sz w:val="28"/>
          <w:szCs w:val="28"/>
        </w:rPr>
      </w:pPr>
      <w:r>
        <w:rPr>
          <w:rFonts w:hint="eastAsia" w:ascii="新宋体" w:hAnsi="新宋体" w:eastAsia="新宋体" w:cs="新宋体"/>
          <w:sz w:val="28"/>
          <w:szCs w:val="28"/>
        </w:rPr>
        <w:t>(1) 安全管理部对可能发生的潜在紧急情况进行分析，制定应急预案；</w:t>
      </w:r>
    </w:p>
    <w:p>
      <w:pPr>
        <w:rPr>
          <w:rFonts w:hint="eastAsia" w:ascii="新宋体" w:hAnsi="新宋体" w:eastAsia="新宋体" w:cs="新宋体"/>
          <w:sz w:val="28"/>
          <w:szCs w:val="28"/>
        </w:rPr>
      </w:pPr>
      <w:r>
        <w:rPr>
          <w:rFonts w:hint="eastAsia" w:ascii="新宋体" w:hAnsi="新宋体" w:eastAsia="新宋体" w:cs="新宋体"/>
          <w:sz w:val="28"/>
          <w:szCs w:val="28"/>
        </w:rPr>
        <w:t>(2) 本公司的应急预案有：《海上溢油应急清污预案》；</w:t>
      </w:r>
    </w:p>
    <w:p>
      <w:pPr>
        <w:rPr>
          <w:rFonts w:hint="eastAsia" w:ascii="新宋体" w:hAnsi="新宋体" w:eastAsia="新宋体" w:cs="新宋体"/>
          <w:sz w:val="28"/>
          <w:szCs w:val="28"/>
        </w:rPr>
      </w:pPr>
      <w:r>
        <w:rPr>
          <w:rFonts w:hint="eastAsia" w:ascii="新宋体" w:hAnsi="新宋体" w:eastAsia="新宋体" w:cs="新宋体"/>
          <w:sz w:val="28"/>
          <w:szCs w:val="28"/>
        </w:rPr>
        <w:t>(3) 安全管理部负责应急预案的制定和修订；</w:t>
      </w:r>
    </w:p>
    <w:p>
      <w:pPr>
        <w:rPr>
          <w:rFonts w:hint="eastAsia" w:ascii="新宋体" w:hAnsi="新宋体" w:eastAsia="新宋体" w:cs="新宋体"/>
          <w:sz w:val="28"/>
          <w:szCs w:val="28"/>
        </w:rPr>
      </w:pPr>
      <w:r>
        <w:rPr>
          <w:rFonts w:hint="eastAsia" w:ascii="新宋体" w:hAnsi="新宋体" w:eastAsia="新宋体" w:cs="新宋体"/>
          <w:sz w:val="28"/>
          <w:szCs w:val="28"/>
        </w:rPr>
        <w:t>(4) 相关责任部门和人员参加应急预案的演习和实施。</w:t>
      </w:r>
    </w:p>
    <w:p>
      <w:pPr>
        <w:rPr>
          <w:rFonts w:hint="eastAsia" w:ascii="新宋体" w:hAnsi="新宋体" w:eastAsia="新宋体" w:cs="新宋体"/>
          <w:b/>
          <w:sz w:val="28"/>
          <w:szCs w:val="28"/>
        </w:rPr>
      </w:pPr>
      <w:r>
        <w:rPr>
          <w:rFonts w:hint="eastAsia" w:ascii="新宋体" w:hAnsi="新宋体" w:eastAsia="新宋体" w:cs="新宋体"/>
          <w:b/>
          <w:color w:val="000000"/>
          <w:sz w:val="28"/>
          <w:szCs w:val="28"/>
        </w:rPr>
        <w:t>1.2.3</w:t>
      </w:r>
      <w:r>
        <w:rPr>
          <w:rFonts w:hint="eastAsia" w:ascii="新宋体" w:hAnsi="新宋体" w:eastAsia="新宋体" w:cs="新宋体"/>
          <w:b/>
          <w:sz w:val="28"/>
          <w:szCs w:val="28"/>
        </w:rPr>
        <w:t xml:space="preserve"> 应急防备</w:t>
      </w:r>
    </w:p>
    <w:p>
      <w:pPr>
        <w:rPr>
          <w:rFonts w:hint="eastAsia" w:ascii="新宋体" w:hAnsi="新宋体" w:eastAsia="新宋体" w:cs="新宋体"/>
          <w:sz w:val="28"/>
          <w:szCs w:val="28"/>
        </w:rPr>
      </w:pPr>
      <w:r>
        <w:rPr>
          <w:rFonts w:hint="eastAsia" w:ascii="新宋体" w:hAnsi="新宋体" w:eastAsia="新宋体" w:cs="新宋体"/>
          <w:sz w:val="28"/>
          <w:szCs w:val="28"/>
        </w:rPr>
        <w:t>(1) 应急人员防备；</w:t>
      </w:r>
    </w:p>
    <w:p>
      <w:pPr>
        <w:rPr>
          <w:rFonts w:hint="eastAsia" w:ascii="新宋体" w:hAnsi="新宋体" w:eastAsia="新宋体" w:cs="新宋体"/>
          <w:sz w:val="28"/>
          <w:szCs w:val="28"/>
        </w:rPr>
      </w:pPr>
      <w:r>
        <w:rPr>
          <w:rFonts w:hint="eastAsia" w:ascii="新宋体" w:hAnsi="新宋体" w:eastAsia="新宋体" w:cs="新宋体"/>
          <w:sz w:val="28"/>
          <w:szCs w:val="28"/>
        </w:rPr>
        <w:t>(2)公司对应急人员进行培训。并积极参加国际、国家级应急人员资质培训；</w:t>
      </w:r>
    </w:p>
    <w:p>
      <w:pPr>
        <w:rPr>
          <w:rFonts w:hint="eastAsia" w:ascii="新宋体" w:hAnsi="新宋体" w:eastAsia="新宋体" w:cs="新宋体"/>
          <w:sz w:val="28"/>
          <w:szCs w:val="28"/>
        </w:rPr>
      </w:pPr>
      <w:r>
        <w:rPr>
          <w:rFonts w:hint="eastAsia" w:ascii="新宋体" w:hAnsi="新宋体" w:eastAsia="新宋体" w:cs="新宋体"/>
          <w:sz w:val="28"/>
          <w:szCs w:val="28"/>
        </w:rPr>
        <w:t>(3)应急设备建设；</w:t>
      </w:r>
    </w:p>
    <w:p>
      <w:pPr>
        <w:rPr>
          <w:rFonts w:hint="eastAsia" w:ascii="新宋体" w:hAnsi="新宋体" w:eastAsia="新宋体" w:cs="新宋体"/>
          <w:sz w:val="28"/>
          <w:szCs w:val="28"/>
        </w:rPr>
      </w:pPr>
      <w:r>
        <w:rPr>
          <w:rFonts w:hint="eastAsia" w:ascii="新宋体" w:hAnsi="新宋体" w:eastAsia="新宋体" w:cs="新宋体"/>
          <w:sz w:val="28"/>
          <w:szCs w:val="28"/>
        </w:rPr>
        <w:t>(4)公司根据连云港港口的分布情况和溢油应急的风险评估，确定设立海上溢油应急设备仓库。</w:t>
      </w:r>
    </w:p>
    <w:p>
      <w:pPr>
        <w:rPr>
          <w:rFonts w:hint="eastAsia" w:ascii="新宋体" w:hAnsi="新宋体" w:eastAsia="新宋体" w:cs="新宋体"/>
          <w:b/>
          <w:sz w:val="28"/>
          <w:szCs w:val="28"/>
        </w:rPr>
      </w:pPr>
      <w:r>
        <w:rPr>
          <w:rFonts w:hint="eastAsia" w:ascii="新宋体" w:hAnsi="新宋体" w:eastAsia="新宋体" w:cs="新宋体"/>
          <w:b/>
          <w:color w:val="000000"/>
          <w:sz w:val="28"/>
          <w:szCs w:val="28"/>
        </w:rPr>
        <w:t>1.2.4</w:t>
      </w:r>
      <w:r>
        <w:rPr>
          <w:rFonts w:hint="eastAsia" w:ascii="新宋体" w:hAnsi="新宋体" w:eastAsia="新宋体" w:cs="新宋体"/>
          <w:b/>
          <w:sz w:val="28"/>
          <w:szCs w:val="28"/>
        </w:rPr>
        <w:t>应急值班</w:t>
      </w:r>
    </w:p>
    <w:p>
      <w:pPr>
        <w:rPr>
          <w:rFonts w:hint="eastAsia" w:ascii="新宋体" w:hAnsi="新宋体" w:eastAsia="新宋体" w:cs="新宋体"/>
          <w:sz w:val="28"/>
          <w:szCs w:val="28"/>
        </w:rPr>
      </w:pPr>
      <w:r>
        <w:rPr>
          <w:rFonts w:hint="eastAsia" w:ascii="新宋体" w:hAnsi="新宋体" w:eastAsia="新宋体" w:cs="新宋体"/>
          <w:sz w:val="28"/>
          <w:szCs w:val="28"/>
        </w:rPr>
        <w:t>(1) 公司建立24小时值班制度，值班电话以文件形式发给海事及相关部门；</w:t>
      </w:r>
    </w:p>
    <w:p>
      <w:pPr>
        <w:rPr>
          <w:rFonts w:hint="eastAsia" w:ascii="新宋体" w:hAnsi="新宋体" w:eastAsia="新宋体" w:cs="新宋体"/>
          <w:color w:val="FF0000"/>
          <w:sz w:val="28"/>
          <w:szCs w:val="28"/>
        </w:rPr>
      </w:pPr>
      <w:r>
        <w:rPr>
          <w:rFonts w:hint="eastAsia" w:ascii="新宋体" w:hAnsi="新宋体" w:eastAsia="新宋体" w:cs="新宋体"/>
          <w:sz w:val="28"/>
          <w:szCs w:val="28"/>
        </w:rPr>
        <w:t>(2) 二十四小时值班电话：</w:t>
      </w:r>
      <w:r>
        <w:rPr>
          <w:rFonts w:hint="eastAsia" w:ascii="新宋体" w:hAnsi="新宋体" w:eastAsia="新宋体" w:cs="新宋体"/>
          <w:color w:val="000000"/>
          <w:sz w:val="28"/>
          <w:szCs w:val="28"/>
        </w:rPr>
        <w:t>0518-82323799，82384608，15161345888，15161345069传真：0518-82323728</w:t>
      </w:r>
    </w:p>
    <w:p>
      <w:pPr>
        <w:rPr>
          <w:rFonts w:hint="eastAsia" w:ascii="新宋体" w:hAnsi="新宋体" w:eastAsia="新宋体" w:cs="新宋体"/>
          <w:sz w:val="28"/>
          <w:szCs w:val="28"/>
        </w:rPr>
      </w:pPr>
      <w:r>
        <w:rPr>
          <w:rFonts w:hint="eastAsia" w:ascii="新宋体" w:hAnsi="新宋体" w:eastAsia="新宋体" w:cs="新宋体"/>
          <w:sz w:val="28"/>
          <w:szCs w:val="28"/>
        </w:rPr>
        <w:t>(3) 应急值班人员接到事故报告后，应作如下询问：</w:t>
      </w:r>
    </w:p>
    <w:p>
      <w:pPr>
        <w:rPr>
          <w:rFonts w:hint="eastAsia" w:ascii="新宋体" w:hAnsi="新宋体" w:eastAsia="新宋体" w:cs="新宋体"/>
          <w:sz w:val="28"/>
          <w:szCs w:val="28"/>
        </w:rPr>
      </w:pPr>
      <w:r>
        <w:rPr>
          <w:rFonts w:hint="eastAsia" w:ascii="新宋体" w:hAnsi="新宋体" w:eastAsia="新宋体" w:cs="新宋体"/>
          <w:sz w:val="28"/>
          <w:szCs w:val="28"/>
        </w:rPr>
        <w:t>值班：您好，请问有什么可以帮到您？</w:t>
      </w:r>
    </w:p>
    <w:p>
      <w:pPr>
        <w:rPr>
          <w:rFonts w:hint="eastAsia" w:ascii="新宋体" w:hAnsi="新宋体" w:eastAsia="新宋体" w:cs="新宋体"/>
          <w:sz w:val="28"/>
          <w:szCs w:val="28"/>
        </w:rPr>
      </w:pPr>
      <w:r>
        <w:rPr>
          <w:rFonts w:hint="eastAsia" w:ascii="新宋体" w:hAnsi="新宋体" w:eastAsia="新宋体" w:cs="新宋体"/>
          <w:sz w:val="28"/>
          <w:szCs w:val="28"/>
        </w:rPr>
        <w:t>值班：明白，请问是什么原因导致事故的？</w:t>
      </w:r>
    </w:p>
    <w:p>
      <w:pPr>
        <w:rPr>
          <w:rFonts w:hint="eastAsia" w:ascii="新宋体" w:hAnsi="新宋体" w:eastAsia="新宋体" w:cs="新宋体"/>
          <w:sz w:val="28"/>
          <w:szCs w:val="28"/>
        </w:rPr>
      </w:pPr>
      <w:r>
        <w:rPr>
          <w:rFonts w:hint="eastAsia" w:ascii="新宋体" w:hAnsi="新宋体" w:eastAsia="新宋体" w:cs="新宋体"/>
          <w:sz w:val="28"/>
          <w:szCs w:val="28"/>
        </w:rPr>
        <w:t>值班：明白，请问溢出的是什么油，大概有多少量？</w:t>
      </w:r>
    </w:p>
    <w:p>
      <w:pPr>
        <w:rPr>
          <w:rFonts w:hint="eastAsia" w:ascii="新宋体" w:hAnsi="新宋体" w:eastAsia="新宋体" w:cs="新宋体"/>
          <w:sz w:val="28"/>
          <w:szCs w:val="28"/>
        </w:rPr>
      </w:pPr>
      <w:r>
        <w:rPr>
          <w:rFonts w:hint="eastAsia" w:ascii="新宋体" w:hAnsi="新宋体" w:eastAsia="新宋体" w:cs="新宋体"/>
          <w:sz w:val="28"/>
          <w:szCs w:val="28"/>
        </w:rPr>
        <w:t>值班：请问事故的确切地点，能将经度和纬度告诉我吗？</w:t>
      </w:r>
    </w:p>
    <w:p>
      <w:pPr>
        <w:rPr>
          <w:rFonts w:hint="eastAsia" w:ascii="新宋体" w:hAnsi="新宋体" w:eastAsia="新宋体" w:cs="新宋体"/>
          <w:sz w:val="28"/>
          <w:szCs w:val="28"/>
        </w:rPr>
      </w:pPr>
      <w:r>
        <w:rPr>
          <w:rFonts w:hint="eastAsia" w:ascii="新宋体" w:hAnsi="新宋体" w:eastAsia="新宋体" w:cs="新宋体"/>
          <w:sz w:val="28"/>
          <w:szCs w:val="28"/>
        </w:rPr>
        <w:t>值班：明白，怎么称呼您和你的单位？</w:t>
      </w:r>
    </w:p>
    <w:p>
      <w:pPr>
        <w:rPr>
          <w:rFonts w:hint="eastAsia" w:ascii="新宋体" w:hAnsi="新宋体" w:eastAsia="新宋体" w:cs="新宋体"/>
          <w:sz w:val="28"/>
          <w:szCs w:val="28"/>
        </w:rPr>
      </w:pPr>
      <w:r>
        <w:rPr>
          <w:rFonts w:hint="eastAsia" w:ascii="新宋体" w:hAnsi="新宋体" w:eastAsia="新宋体" w:cs="新宋体"/>
          <w:sz w:val="28"/>
          <w:szCs w:val="28"/>
        </w:rPr>
        <w:t>值班：好，请问你的联系电话是？</w:t>
      </w:r>
    </w:p>
    <w:p>
      <w:pPr>
        <w:rPr>
          <w:rFonts w:hint="eastAsia" w:ascii="新宋体" w:hAnsi="新宋体" w:eastAsia="新宋体" w:cs="新宋体"/>
          <w:sz w:val="28"/>
          <w:szCs w:val="28"/>
        </w:rPr>
      </w:pPr>
      <w:r>
        <w:rPr>
          <w:rFonts w:hint="eastAsia" w:ascii="新宋体" w:hAnsi="新宋体" w:eastAsia="新宋体" w:cs="新宋体"/>
          <w:sz w:val="28"/>
          <w:szCs w:val="28"/>
        </w:rPr>
        <w:t>值班：好的，我马上将情况报告给我公司的总指挥，并保持和你联系。再见！</w:t>
      </w:r>
    </w:p>
    <w:p>
      <w:pPr>
        <w:rPr>
          <w:rFonts w:hint="eastAsia" w:ascii="新宋体" w:hAnsi="新宋体" w:eastAsia="新宋体" w:cs="新宋体"/>
          <w:sz w:val="28"/>
          <w:szCs w:val="28"/>
        </w:rPr>
      </w:pPr>
      <w:r>
        <w:rPr>
          <w:rFonts w:hint="eastAsia" w:ascii="新宋体" w:hAnsi="新宋体" w:eastAsia="新宋体" w:cs="新宋体"/>
          <w:sz w:val="28"/>
          <w:szCs w:val="28"/>
        </w:rPr>
        <w:t>(4)应急值班人员应将上述问询得到的信息如实填写在记录表。</w:t>
      </w:r>
    </w:p>
    <w:p>
      <w:pPr>
        <w:jc w:val="center"/>
        <w:rPr>
          <w:rFonts w:hint="eastAsia" w:ascii="新宋体" w:hAnsi="新宋体" w:eastAsia="新宋体" w:cs="新宋体"/>
          <w:b/>
          <w:sz w:val="32"/>
          <w:szCs w:val="32"/>
        </w:rPr>
      </w:pPr>
      <w:r>
        <w:rPr>
          <w:rFonts w:hint="eastAsia" w:ascii="新宋体" w:hAnsi="新宋体" w:eastAsia="新宋体" w:cs="新宋体"/>
          <w:b/>
          <w:sz w:val="32"/>
          <w:szCs w:val="32"/>
        </w:rPr>
        <w:t>连云港信海清污有限公司</w:t>
      </w:r>
    </w:p>
    <w:p>
      <w:pPr>
        <w:jc w:val="center"/>
        <w:rPr>
          <w:rFonts w:hint="eastAsia" w:ascii="新宋体" w:hAnsi="新宋体" w:eastAsia="新宋体" w:cs="新宋体"/>
          <w:b/>
          <w:sz w:val="32"/>
          <w:szCs w:val="32"/>
        </w:rPr>
      </w:pPr>
      <w:r>
        <w:rPr>
          <w:rFonts w:hint="eastAsia" w:ascii="新宋体" w:hAnsi="新宋体" w:eastAsia="新宋体" w:cs="新宋体"/>
          <w:b/>
          <w:sz w:val="32"/>
          <w:szCs w:val="32"/>
        </w:rPr>
        <w:t>海上溢油应急清污电话记录表</w:t>
      </w:r>
    </w:p>
    <w:p>
      <w:pPr>
        <w:ind w:right="105"/>
        <w:jc w:val="right"/>
        <w:rPr>
          <w:rFonts w:hint="eastAsia" w:ascii="新宋体" w:hAnsi="新宋体" w:eastAsia="新宋体" w:cs="新宋体"/>
          <w:szCs w:val="21"/>
        </w:rPr>
      </w:pPr>
    </w:p>
    <w:tbl>
      <w:tblPr>
        <w:tblStyle w:val="5"/>
        <w:tblW w:w="9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7"/>
        <w:gridCol w:w="586"/>
        <w:gridCol w:w="314"/>
        <w:gridCol w:w="1954"/>
        <w:gridCol w:w="987"/>
        <w:gridCol w:w="2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3157" w:type="dxa"/>
            <w:vAlign w:val="center"/>
          </w:tcPr>
          <w:p>
            <w:pPr>
              <w:jc w:val="left"/>
              <w:rPr>
                <w:rFonts w:hint="eastAsia" w:ascii="新宋体" w:hAnsi="新宋体" w:eastAsia="新宋体" w:cs="新宋体"/>
                <w:sz w:val="24"/>
              </w:rPr>
            </w:pPr>
            <w:r>
              <w:rPr>
                <w:rFonts w:hint="eastAsia" w:ascii="新宋体" w:hAnsi="新宋体" w:eastAsia="新宋体" w:cs="新宋体"/>
                <w:sz w:val="24"/>
              </w:rPr>
              <w:t>事故报告人：</w:t>
            </w:r>
          </w:p>
        </w:tc>
        <w:tc>
          <w:tcPr>
            <w:tcW w:w="2854" w:type="dxa"/>
            <w:gridSpan w:val="3"/>
            <w:vAlign w:val="center"/>
          </w:tcPr>
          <w:p>
            <w:pPr>
              <w:jc w:val="left"/>
              <w:rPr>
                <w:rFonts w:hint="eastAsia" w:ascii="新宋体" w:hAnsi="新宋体" w:eastAsia="新宋体" w:cs="新宋体"/>
                <w:sz w:val="24"/>
              </w:rPr>
            </w:pPr>
            <w:r>
              <w:rPr>
                <w:rFonts w:hint="eastAsia" w:ascii="新宋体" w:hAnsi="新宋体" w:eastAsia="新宋体" w:cs="新宋体"/>
                <w:sz w:val="24"/>
              </w:rPr>
              <w:t>联系电话：</w:t>
            </w:r>
          </w:p>
        </w:tc>
        <w:tc>
          <w:tcPr>
            <w:tcW w:w="3198" w:type="dxa"/>
            <w:gridSpan w:val="2"/>
            <w:vAlign w:val="center"/>
          </w:tcPr>
          <w:p>
            <w:pPr>
              <w:jc w:val="left"/>
              <w:rPr>
                <w:rFonts w:hint="eastAsia" w:ascii="新宋体" w:hAnsi="新宋体" w:eastAsia="新宋体" w:cs="新宋体"/>
                <w:sz w:val="24"/>
              </w:rPr>
            </w:pPr>
            <w:r>
              <w:rPr>
                <w:rFonts w:hint="eastAsia" w:ascii="新宋体" w:hAnsi="新宋体" w:eastAsia="新宋体" w:cs="新宋体"/>
                <w:sz w:val="24"/>
              </w:rPr>
              <w:t>事故发生时间：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3743" w:type="dxa"/>
            <w:gridSpan w:val="2"/>
            <w:vMerge w:val="restart"/>
            <w:vAlign w:val="center"/>
          </w:tcPr>
          <w:p>
            <w:pPr>
              <w:jc w:val="left"/>
              <w:rPr>
                <w:rFonts w:hint="eastAsia" w:ascii="新宋体" w:hAnsi="新宋体" w:eastAsia="新宋体" w:cs="新宋体"/>
                <w:sz w:val="24"/>
              </w:rPr>
            </w:pPr>
            <w:r>
              <w:rPr>
                <w:rFonts w:hint="eastAsia" w:ascii="新宋体" w:hAnsi="新宋体" w:eastAsia="新宋体" w:cs="新宋体"/>
                <w:sz w:val="24"/>
              </w:rPr>
              <w:t>事故原因：</w:t>
            </w:r>
          </w:p>
        </w:tc>
        <w:tc>
          <w:tcPr>
            <w:tcW w:w="2268" w:type="dxa"/>
            <w:gridSpan w:val="2"/>
            <w:vMerge w:val="restart"/>
            <w:vAlign w:val="center"/>
          </w:tcPr>
          <w:p>
            <w:pPr>
              <w:jc w:val="left"/>
              <w:rPr>
                <w:rFonts w:hint="eastAsia" w:ascii="新宋体" w:hAnsi="新宋体" w:eastAsia="新宋体" w:cs="新宋体"/>
                <w:sz w:val="24"/>
              </w:rPr>
            </w:pPr>
            <w:r>
              <w:rPr>
                <w:rFonts w:hint="eastAsia" w:ascii="新宋体" w:hAnsi="新宋体" w:eastAsia="新宋体" w:cs="新宋体"/>
                <w:sz w:val="24"/>
              </w:rPr>
              <w:t>事故地点：</w:t>
            </w:r>
          </w:p>
        </w:tc>
        <w:tc>
          <w:tcPr>
            <w:tcW w:w="987" w:type="dxa"/>
            <w:vAlign w:val="center"/>
          </w:tcPr>
          <w:p>
            <w:pPr>
              <w:jc w:val="left"/>
              <w:rPr>
                <w:rFonts w:hint="eastAsia" w:ascii="新宋体" w:hAnsi="新宋体" w:eastAsia="新宋体" w:cs="新宋体"/>
                <w:sz w:val="24"/>
              </w:rPr>
            </w:pPr>
            <w:r>
              <w:rPr>
                <w:rFonts w:hint="eastAsia" w:ascii="新宋体" w:hAnsi="新宋体" w:eastAsia="新宋体" w:cs="新宋体"/>
                <w:sz w:val="24"/>
              </w:rPr>
              <w:t>经度：</w:t>
            </w:r>
          </w:p>
        </w:tc>
        <w:tc>
          <w:tcPr>
            <w:tcW w:w="2211" w:type="dxa"/>
            <w:vAlign w:val="center"/>
          </w:tcPr>
          <w:p>
            <w:pPr>
              <w:jc w:val="left"/>
              <w:rPr>
                <w:rFonts w:hint="eastAsia" w:ascii="新宋体" w:hAnsi="新宋体" w:eastAsia="新宋体" w:cs="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3743" w:type="dxa"/>
            <w:gridSpan w:val="2"/>
            <w:vMerge w:val="continue"/>
            <w:vAlign w:val="center"/>
          </w:tcPr>
          <w:p>
            <w:pPr>
              <w:jc w:val="left"/>
              <w:rPr>
                <w:rFonts w:hint="eastAsia" w:ascii="新宋体" w:hAnsi="新宋体" w:eastAsia="新宋体" w:cs="新宋体"/>
                <w:sz w:val="24"/>
              </w:rPr>
            </w:pPr>
          </w:p>
        </w:tc>
        <w:tc>
          <w:tcPr>
            <w:tcW w:w="2268" w:type="dxa"/>
            <w:gridSpan w:val="2"/>
            <w:vMerge w:val="continue"/>
            <w:vAlign w:val="center"/>
          </w:tcPr>
          <w:p>
            <w:pPr>
              <w:jc w:val="left"/>
              <w:rPr>
                <w:rFonts w:hint="eastAsia" w:ascii="新宋体" w:hAnsi="新宋体" w:eastAsia="新宋体" w:cs="新宋体"/>
                <w:sz w:val="24"/>
              </w:rPr>
            </w:pPr>
          </w:p>
        </w:tc>
        <w:tc>
          <w:tcPr>
            <w:tcW w:w="987" w:type="dxa"/>
            <w:vAlign w:val="center"/>
          </w:tcPr>
          <w:p>
            <w:pPr>
              <w:jc w:val="left"/>
              <w:rPr>
                <w:rFonts w:hint="eastAsia" w:ascii="新宋体" w:hAnsi="新宋体" w:eastAsia="新宋体" w:cs="新宋体"/>
                <w:sz w:val="24"/>
              </w:rPr>
            </w:pPr>
            <w:r>
              <w:rPr>
                <w:rFonts w:hint="eastAsia" w:ascii="新宋体" w:hAnsi="新宋体" w:eastAsia="新宋体" w:cs="新宋体"/>
                <w:sz w:val="24"/>
              </w:rPr>
              <w:t>纬度：</w:t>
            </w:r>
          </w:p>
        </w:tc>
        <w:tc>
          <w:tcPr>
            <w:tcW w:w="2211" w:type="dxa"/>
            <w:vAlign w:val="center"/>
          </w:tcPr>
          <w:p>
            <w:pPr>
              <w:jc w:val="left"/>
              <w:rPr>
                <w:rFonts w:hint="eastAsia" w:ascii="新宋体" w:hAnsi="新宋体" w:eastAsia="新宋体" w:cs="新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6011" w:type="dxa"/>
            <w:gridSpan w:val="4"/>
            <w:vAlign w:val="center"/>
          </w:tcPr>
          <w:p>
            <w:pPr>
              <w:jc w:val="left"/>
              <w:rPr>
                <w:rFonts w:hint="eastAsia" w:ascii="新宋体" w:hAnsi="新宋体" w:eastAsia="新宋体" w:cs="新宋体"/>
                <w:sz w:val="24"/>
              </w:rPr>
            </w:pPr>
            <w:r>
              <w:rPr>
                <w:rFonts w:hint="eastAsia" w:ascii="新宋体" w:hAnsi="新宋体" w:eastAsia="新宋体" w:cs="新宋体"/>
                <w:sz w:val="24"/>
              </w:rPr>
              <w:t>溢出油类：□原油  □重油  □柴油  □或：</w:t>
            </w:r>
          </w:p>
        </w:tc>
        <w:tc>
          <w:tcPr>
            <w:tcW w:w="3198" w:type="dxa"/>
            <w:gridSpan w:val="2"/>
            <w:vAlign w:val="center"/>
          </w:tcPr>
          <w:p>
            <w:pPr>
              <w:widowControl/>
              <w:jc w:val="left"/>
              <w:rPr>
                <w:rFonts w:hint="eastAsia" w:ascii="新宋体" w:hAnsi="新宋体" w:eastAsia="新宋体" w:cs="新宋体"/>
                <w:sz w:val="24"/>
              </w:rPr>
            </w:pPr>
            <w:r>
              <w:rPr>
                <w:rFonts w:hint="eastAsia" w:ascii="新宋体" w:hAnsi="新宋体" w:eastAsia="新宋体" w:cs="新宋体"/>
                <w:sz w:val="24"/>
              </w:rPr>
              <w:t>溢油量：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jc w:val="center"/>
        </w:trPr>
        <w:tc>
          <w:tcPr>
            <w:tcW w:w="4057" w:type="dxa"/>
            <w:gridSpan w:val="3"/>
            <w:vAlign w:val="center"/>
          </w:tcPr>
          <w:p>
            <w:pPr>
              <w:jc w:val="left"/>
              <w:rPr>
                <w:rFonts w:hint="eastAsia" w:ascii="新宋体" w:hAnsi="新宋体" w:eastAsia="新宋体" w:cs="新宋体"/>
                <w:sz w:val="24"/>
              </w:rPr>
            </w:pPr>
            <w:r>
              <w:rPr>
                <w:rFonts w:hint="eastAsia" w:ascii="新宋体" w:hAnsi="新宋体" w:eastAsia="新宋体" w:cs="新宋体"/>
                <w:sz w:val="24"/>
              </w:rPr>
              <w:t>记录人：</w:t>
            </w:r>
          </w:p>
        </w:tc>
        <w:tc>
          <w:tcPr>
            <w:tcW w:w="5152" w:type="dxa"/>
            <w:gridSpan w:val="3"/>
            <w:vAlign w:val="center"/>
          </w:tcPr>
          <w:p>
            <w:pPr>
              <w:jc w:val="left"/>
              <w:rPr>
                <w:rFonts w:hint="eastAsia" w:ascii="新宋体" w:hAnsi="新宋体" w:eastAsia="新宋体" w:cs="新宋体"/>
                <w:sz w:val="24"/>
              </w:rPr>
            </w:pPr>
            <w:r>
              <w:rPr>
                <w:rFonts w:hint="eastAsia" w:ascii="新宋体" w:hAnsi="新宋体" w:eastAsia="新宋体" w:cs="新宋体"/>
                <w:sz w:val="24"/>
              </w:rPr>
              <w:t>记录时间：</w:t>
            </w:r>
          </w:p>
        </w:tc>
      </w:tr>
    </w:tbl>
    <w:p>
      <w:pPr>
        <w:rPr>
          <w:rFonts w:hint="eastAsia" w:ascii="新宋体" w:hAnsi="新宋体" w:eastAsia="新宋体" w:cs="新宋体"/>
          <w:b/>
          <w:sz w:val="28"/>
          <w:szCs w:val="28"/>
        </w:rPr>
      </w:pPr>
      <w:r>
        <w:rPr>
          <w:rFonts w:hint="eastAsia" w:ascii="新宋体" w:hAnsi="新宋体" w:eastAsia="新宋体" w:cs="新宋体"/>
          <w:b/>
          <w:color w:val="000000"/>
          <w:sz w:val="28"/>
          <w:szCs w:val="28"/>
        </w:rPr>
        <w:t>1.2.5</w:t>
      </w:r>
      <w:r>
        <w:rPr>
          <w:rFonts w:hint="eastAsia" w:ascii="新宋体" w:hAnsi="新宋体" w:eastAsia="新宋体" w:cs="新宋体"/>
          <w:b/>
          <w:sz w:val="28"/>
          <w:szCs w:val="28"/>
        </w:rPr>
        <w:t xml:space="preserve"> 应急演习</w:t>
      </w:r>
    </w:p>
    <w:p>
      <w:pPr>
        <w:rPr>
          <w:rFonts w:hint="eastAsia" w:ascii="新宋体" w:hAnsi="新宋体" w:eastAsia="新宋体" w:cs="新宋体"/>
          <w:sz w:val="28"/>
          <w:szCs w:val="28"/>
        </w:rPr>
      </w:pPr>
      <w:r>
        <w:rPr>
          <w:rFonts w:hint="eastAsia" w:ascii="新宋体" w:hAnsi="新宋体" w:eastAsia="新宋体" w:cs="新宋体"/>
          <w:sz w:val="28"/>
          <w:szCs w:val="28"/>
        </w:rPr>
        <w:t>(1) 公司应按预案演习的要求做好应急演习工作；</w:t>
      </w:r>
    </w:p>
    <w:p>
      <w:pPr>
        <w:rPr>
          <w:rFonts w:hint="eastAsia" w:ascii="新宋体" w:hAnsi="新宋体" w:eastAsia="新宋体" w:cs="新宋体"/>
          <w:sz w:val="28"/>
          <w:szCs w:val="28"/>
        </w:rPr>
      </w:pPr>
      <w:r>
        <w:rPr>
          <w:rFonts w:hint="eastAsia" w:ascii="新宋体" w:hAnsi="新宋体" w:eastAsia="新宋体" w:cs="新宋体"/>
          <w:sz w:val="28"/>
          <w:szCs w:val="28"/>
        </w:rPr>
        <w:t>(2) 如果由海事或港口码头组织的演习活动，须在演习前和海事或港口码头进行沟通，以便保证演习顺利进行；</w:t>
      </w:r>
    </w:p>
    <w:p>
      <w:pPr>
        <w:rPr>
          <w:rFonts w:hint="eastAsia" w:ascii="新宋体" w:hAnsi="新宋体" w:eastAsia="新宋体" w:cs="新宋体"/>
          <w:b/>
          <w:color w:val="000000"/>
          <w:sz w:val="28"/>
          <w:szCs w:val="28"/>
        </w:rPr>
      </w:pPr>
      <w:r>
        <w:rPr>
          <w:rFonts w:hint="eastAsia" w:ascii="新宋体" w:hAnsi="新宋体" w:eastAsia="新宋体" w:cs="新宋体"/>
          <w:sz w:val="28"/>
          <w:szCs w:val="28"/>
        </w:rPr>
        <w:t>(3) 演习结束后，应做好演习记录。必要时，由行政部形成演习报告，向海事或港口码头报告演习情况，以便总结经验，更加完善预案。</w:t>
      </w:r>
    </w:p>
    <w:p>
      <w:pPr>
        <w:rPr>
          <w:rFonts w:hint="eastAsia" w:ascii="新宋体" w:hAnsi="新宋体" w:eastAsia="新宋体" w:cs="新宋体"/>
          <w:b/>
          <w:sz w:val="28"/>
          <w:szCs w:val="28"/>
        </w:rPr>
      </w:pPr>
      <w:r>
        <w:rPr>
          <w:rFonts w:hint="eastAsia" w:ascii="新宋体" w:hAnsi="新宋体" w:eastAsia="新宋体" w:cs="新宋体"/>
          <w:b/>
          <w:color w:val="000000"/>
          <w:sz w:val="28"/>
          <w:szCs w:val="28"/>
        </w:rPr>
        <w:t>1.2.6</w:t>
      </w:r>
      <w:r>
        <w:rPr>
          <w:rFonts w:hint="eastAsia" w:ascii="新宋体" w:hAnsi="新宋体" w:eastAsia="新宋体" w:cs="新宋体"/>
          <w:b/>
          <w:sz w:val="28"/>
          <w:szCs w:val="28"/>
        </w:rPr>
        <w:t>应急响应</w:t>
      </w:r>
    </w:p>
    <w:p>
      <w:pPr>
        <w:rPr>
          <w:rFonts w:hint="eastAsia" w:ascii="新宋体" w:hAnsi="新宋体" w:eastAsia="新宋体" w:cs="新宋体"/>
          <w:sz w:val="28"/>
          <w:szCs w:val="28"/>
        </w:rPr>
      </w:pPr>
      <w:r>
        <w:rPr>
          <w:rFonts w:hint="eastAsia" w:ascii="新宋体" w:hAnsi="新宋体" w:eastAsia="新宋体" w:cs="新宋体"/>
          <w:sz w:val="28"/>
          <w:szCs w:val="28"/>
        </w:rPr>
        <w:t>(1) 潜在事故或环境紧急情况发生后，由现场发现人或值班人员立即通知总指挥，总指挥立即启动应急预案，并按预案要求组织人员、设备、船舶和材料到达现场，开展应急清污处置行动；</w:t>
      </w:r>
    </w:p>
    <w:p>
      <w:pPr>
        <w:rPr>
          <w:rFonts w:hint="eastAsia" w:ascii="新宋体" w:hAnsi="新宋体" w:eastAsia="新宋体" w:cs="新宋体"/>
          <w:sz w:val="28"/>
          <w:szCs w:val="28"/>
        </w:rPr>
      </w:pPr>
      <w:r>
        <w:rPr>
          <w:rFonts w:hint="eastAsia" w:ascii="新宋体" w:hAnsi="新宋体" w:eastAsia="新宋体" w:cs="新宋体"/>
          <w:sz w:val="28"/>
          <w:szCs w:val="28"/>
        </w:rPr>
        <w:t>(2) 发生海上溢油事故依据《海上溢油应急清污预案》；</w:t>
      </w:r>
    </w:p>
    <w:p>
      <w:pPr>
        <w:rPr>
          <w:rFonts w:hint="eastAsia" w:ascii="新宋体" w:hAnsi="新宋体" w:eastAsia="新宋体" w:cs="新宋体"/>
          <w:sz w:val="28"/>
          <w:szCs w:val="28"/>
        </w:rPr>
      </w:pPr>
      <w:r>
        <w:rPr>
          <w:rFonts w:hint="eastAsia" w:ascii="新宋体" w:hAnsi="新宋体" w:eastAsia="新宋体" w:cs="新宋体"/>
          <w:sz w:val="28"/>
          <w:szCs w:val="28"/>
        </w:rPr>
        <w:t>(3) 消防安全、船舶运行安全等紧急事故处理依据《海上溢油应急清污预案》及《安全营运和防止污染管理制度》。</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1.2.7应急处置</w:t>
      </w:r>
    </w:p>
    <w:p>
      <w:pPr>
        <w:rPr>
          <w:rFonts w:hint="eastAsia" w:ascii="新宋体" w:hAnsi="新宋体" w:eastAsia="新宋体" w:cs="新宋体"/>
          <w:color w:val="000000"/>
          <w:sz w:val="28"/>
          <w:szCs w:val="28"/>
        </w:rPr>
      </w:pPr>
      <w:r>
        <w:rPr>
          <w:rFonts w:hint="eastAsia" w:ascii="新宋体" w:hAnsi="新宋体" w:eastAsia="新宋体" w:cs="新宋体"/>
          <w:b/>
          <w:color w:val="000000"/>
          <w:sz w:val="28"/>
          <w:szCs w:val="28"/>
        </w:rPr>
        <w:t>1.2.7.1</w:t>
      </w:r>
      <w:r>
        <w:rPr>
          <w:rFonts w:hint="eastAsia" w:ascii="新宋体" w:hAnsi="新宋体" w:eastAsia="新宋体" w:cs="新宋体"/>
          <w:color w:val="000000"/>
          <w:sz w:val="28"/>
          <w:szCs w:val="28"/>
        </w:rPr>
        <w:t>到达现场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(1)接到应急事故电话报告后，总指挥立即启动应急清污预案；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(2)现场指挥乘溢油应急处置船到达现场进行现场察看，现场指挥到现场后将察看到的情况向总指挥进行详细汇报，随后辅助船全速到达现场；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(3)总指挥根据现场指挥报告的情况，决定采用控制、减少和消除的措施和方法。</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1.2.7.2围控清除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围油栏围控：总指挥根据现场的实际情况，决定是否采用围油栏围控。如果溢油的轻组分太高，油蒸气太重，有易燃易爆的潜在风险时，不易围控。如果溢油为重油，溢油量大时，油蒸气不是太浓时，可以采用围油栏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(2)撇油器收油：围油栏围控后，可采用撇油器收油。总指挥根据现场的实际情况，命令将撇油器布放在油层较厚的水域，开启动力站，进行收油。撇油器收油时；</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(3)其他作业人员应将油往撇油器周围赶，使撇油器在短期内发挥较大功率。</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喷洒分散剂：当溢油还很新鲜时，经海事部门指挥的批准，在油层较厚处喷洒分散剂，降低油蒸气的产生，有效防止火灾或爆炸；</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(4)布放吸油毡：作业人员在溢油逃逸的水域布放吸油毡，吸油毡投放后，将吸油毡反复翻动，吸满油后再将吸油毡打捞上船，装入垃圾袋。</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1.2.7.3后续处置</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接到海事部门可以结束应急清污命令后，总指挥命令应急清污行动结束；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各作业小组按分工清理现场，禁止将垃圾遗留在现场；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回收围控设备和收油设备，如有些许油在海面，继续用吸油毡将油吸干净，再打捞上来；</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各部门回到锚地休息后，对设备设施进行清洗、整理和维护；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清洗过程中，注意将废水排入废油水舱，一并交处理厂处理。</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2服务的主要船舶类型及其载货种类的应急堵漏、卸载污染控制方案</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在对海面污染采取围控和清除等措施的同时，应采取有效措施，控制污染源，防止和阻止污染物的进一步泄漏。污染源控制措施包括：堵漏、卸载转驳、船舶脱浅等。</w:t>
      </w:r>
    </w:p>
    <w:p>
      <w:pPr>
        <w:rPr>
          <w:rFonts w:hint="eastAsia" w:ascii="新宋体" w:hAnsi="新宋体" w:eastAsia="新宋体" w:cs="新宋体"/>
          <w:sz w:val="28"/>
          <w:szCs w:val="28"/>
        </w:rPr>
      </w:pPr>
      <w:r>
        <w:rPr>
          <w:rFonts w:hint="eastAsia" w:ascii="新宋体" w:hAnsi="新宋体" w:eastAsia="新宋体" w:cs="新宋体"/>
          <w:b/>
          <w:color w:val="000000"/>
          <w:sz w:val="28"/>
          <w:szCs w:val="28"/>
        </w:rPr>
        <w:t>2.1服务的主要船舶类型：</w:t>
      </w:r>
      <w:r>
        <w:rPr>
          <w:rFonts w:hint="eastAsia" w:ascii="新宋体" w:hAnsi="新宋体" w:eastAsia="新宋体" w:cs="新宋体"/>
          <w:sz w:val="28"/>
          <w:szCs w:val="28"/>
        </w:rPr>
        <w:t>普通货船（载运普通干散货和集装箱），油船（载运柴油、沥青和燃料油）、散装液体化学品船（载运植物油、液体化工品）、客船、施工船。在堵漏和卸载中，应根据污染物的危险特性，采取防火、防爆、防人员伤害等措施，做好安全防护工作。</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2.1.1应急堵漏方案</w:t>
      </w:r>
    </w:p>
    <w:p>
      <w:pPr>
        <w:shd w:val="clear" w:color="auto" w:fill="FAFAFA"/>
        <w:spacing w:line="360" w:lineRule="atLeast"/>
        <w:rPr>
          <w:rFonts w:hint="eastAsia" w:ascii="新宋体" w:hAnsi="新宋体" w:eastAsia="新宋体" w:cs="新宋体"/>
          <w:spacing w:val="8"/>
          <w:kern w:val="0"/>
          <w:sz w:val="28"/>
          <w:szCs w:val="28"/>
        </w:rPr>
      </w:pPr>
      <w:r>
        <w:rPr>
          <w:rFonts w:hint="eastAsia" w:ascii="新宋体" w:hAnsi="新宋体" w:eastAsia="新宋体" w:cs="新宋体"/>
          <w:spacing w:val="8"/>
          <w:sz w:val="28"/>
          <w:szCs w:val="28"/>
        </w:rPr>
        <w:t>(1)</w:t>
      </w:r>
      <w:r>
        <w:rPr>
          <w:rFonts w:hint="eastAsia" w:ascii="新宋体" w:hAnsi="新宋体" w:eastAsia="新宋体" w:cs="新宋体"/>
          <w:spacing w:val="8"/>
          <w:kern w:val="0"/>
          <w:sz w:val="28"/>
          <w:szCs w:val="28"/>
        </w:rPr>
        <w:t>发现船体破损进水，立即查明破损部位和范围，必要时应停车，以减少进水量和冲击力；</w:t>
      </w:r>
    </w:p>
    <w:p>
      <w:pPr>
        <w:shd w:val="clear" w:color="auto" w:fill="FAFAFA"/>
        <w:spacing w:line="360" w:lineRule="atLeast"/>
        <w:rPr>
          <w:rFonts w:hint="eastAsia" w:ascii="新宋体" w:hAnsi="新宋体" w:eastAsia="新宋体" w:cs="新宋体"/>
          <w:spacing w:val="8"/>
          <w:kern w:val="0"/>
          <w:sz w:val="28"/>
          <w:szCs w:val="28"/>
        </w:rPr>
      </w:pPr>
      <w:r>
        <w:rPr>
          <w:rFonts w:hint="eastAsia" w:ascii="新宋体" w:hAnsi="新宋体" w:eastAsia="新宋体" w:cs="新宋体"/>
          <w:spacing w:val="8"/>
          <w:sz w:val="28"/>
          <w:szCs w:val="28"/>
        </w:rPr>
        <w:t>(2)</w:t>
      </w:r>
      <w:r>
        <w:rPr>
          <w:rFonts w:hint="eastAsia" w:ascii="新宋体" w:hAnsi="新宋体" w:eastAsia="新宋体" w:cs="新宋体"/>
          <w:spacing w:val="8"/>
          <w:kern w:val="0"/>
          <w:sz w:val="28"/>
          <w:szCs w:val="28"/>
        </w:rPr>
        <w:t>要反复测量进水舱和相邻舱的水位，确定进水速度和漫流情况，并计算进水量；</w:t>
      </w:r>
    </w:p>
    <w:p>
      <w:pPr>
        <w:shd w:val="clear" w:color="auto" w:fill="FAFAFA"/>
        <w:spacing w:line="360" w:lineRule="atLeast"/>
        <w:rPr>
          <w:rFonts w:hint="eastAsia" w:ascii="新宋体" w:hAnsi="新宋体" w:eastAsia="新宋体" w:cs="新宋体"/>
          <w:spacing w:val="8"/>
          <w:kern w:val="0"/>
          <w:sz w:val="28"/>
          <w:szCs w:val="28"/>
          <w:u w:val="single"/>
        </w:rPr>
      </w:pPr>
      <w:r>
        <w:rPr>
          <w:rFonts w:hint="eastAsia" w:ascii="新宋体" w:hAnsi="新宋体" w:eastAsia="新宋体" w:cs="新宋体"/>
          <w:spacing w:val="8"/>
          <w:sz w:val="28"/>
          <w:szCs w:val="28"/>
        </w:rPr>
        <w:t>(3)进水量得计算，</w:t>
      </w:r>
      <w:r>
        <w:rPr>
          <w:rFonts w:hint="eastAsia" w:ascii="新宋体" w:hAnsi="新宋体" w:eastAsia="新宋体" w:cs="新宋体"/>
          <w:spacing w:val="8"/>
          <w:kern w:val="0"/>
          <w:sz w:val="28"/>
          <w:szCs w:val="28"/>
        </w:rPr>
        <w:t xml:space="preserve">从漏洞中进入船内的水量可近似地按下式计算： </w:t>
      </w:r>
    </w:p>
    <w:p>
      <w:pPr>
        <w:widowControl/>
        <w:shd w:val="clear" w:color="auto" w:fill="F6F6F6"/>
        <w:spacing w:line="360" w:lineRule="atLeast"/>
        <w:jc w:val="center"/>
        <w:rPr>
          <w:rFonts w:hint="eastAsia" w:ascii="新宋体" w:hAnsi="新宋体" w:eastAsia="新宋体" w:cs="新宋体"/>
          <w:b/>
          <w:spacing w:val="8"/>
          <w:kern w:val="0"/>
          <w:sz w:val="28"/>
          <w:szCs w:val="28"/>
          <w:u w:val="single"/>
        </w:rPr>
      </w:pPr>
      <w:r>
        <w:rPr>
          <w:rFonts w:hint="eastAsia" w:ascii="新宋体" w:hAnsi="新宋体" w:eastAsia="新宋体" w:cs="新宋体"/>
          <w:b/>
          <w:color w:val="136EC2"/>
          <w:spacing w:val="8"/>
          <w:kern w:val="0"/>
          <w:sz w:val="28"/>
          <w:szCs w:val="28"/>
          <w:u w:val="single"/>
        </w:rPr>
        <w:fldChar w:fldCharType="begin"/>
      </w:r>
      <w:r>
        <w:rPr>
          <w:rFonts w:hint="eastAsia" w:ascii="新宋体" w:hAnsi="新宋体" w:eastAsia="新宋体" w:cs="新宋体"/>
          <w:b/>
          <w:color w:val="136EC2"/>
          <w:spacing w:val="8"/>
          <w:kern w:val="0"/>
          <w:sz w:val="28"/>
          <w:szCs w:val="28"/>
          <w:u w:val="single"/>
        </w:rPr>
        <w:instrText xml:space="preserve"> INCLUDEPICTURE "http://imgsrc.baidu.com/baike/abpic/item/aa59892b91eab2bfe7cd4017.jpg" \* MERGEFORMATINET </w:instrText>
      </w:r>
      <w:r>
        <w:rPr>
          <w:rFonts w:hint="eastAsia" w:ascii="新宋体" w:hAnsi="新宋体" w:eastAsia="新宋体" w:cs="新宋体"/>
          <w:b/>
          <w:color w:val="136EC2"/>
          <w:spacing w:val="8"/>
          <w:kern w:val="0"/>
          <w:sz w:val="28"/>
          <w:szCs w:val="28"/>
          <w:u w:val="single"/>
        </w:rPr>
        <w:fldChar w:fldCharType="separate"/>
      </w:r>
      <w:r>
        <w:rPr>
          <w:rFonts w:hint="eastAsia" w:ascii="新宋体" w:hAnsi="新宋体" w:eastAsia="新宋体" w:cs="新宋体"/>
          <w:b/>
          <w:color w:val="136EC2"/>
          <w:spacing w:val="8"/>
          <w:kern w:val="0"/>
          <w:sz w:val="28"/>
          <w:szCs w:val="28"/>
          <w:u w:val="single"/>
        </w:rPr>
        <w:drawing>
          <wp:inline distT="0" distB="0" distL="114300" distR="114300">
            <wp:extent cx="1379855" cy="238760"/>
            <wp:effectExtent l="0" t="0" r="10795" b="8890"/>
            <wp:docPr id="32" name="图片 7" descr="aa59892b91eab2bfe7cd401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descr="aa59892b91eab2bfe7cd4017"/>
                    <pic:cNvPicPr>
                      <a:picLocks noChangeAspect="1"/>
                    </pic:cNvPicPr>
                  </pic:nvPicPr>
                  <pic:blipFill>
                    <a:blip r:embed="rId14"/>
                    <a:stretch>
                      <a:fillRect/>
                    </a:stretch>
                  </pic:blipFill>
                  <pic:spPr>
                    <a:xfrm>
                      <a:off x="0" y="0"/>
                      <a:ext cx="1379855" cy="238760"/>
                    </a:xfrm>
                    <a:prstGeom prst="rect">
                      <a:avLst/>
                    </a:prstGeom>
                    <a:noFill/>
                    <a:ln w="9525">
                      <a:noFill/>
                    </a:ln>
                  </pic:spPr>
                </pic:pic>
              </a:graphicData>
            </a:graphic>
          </wp:inline>
        </w:drawing>
      </w:r>
      <w:r>
        <w:rPr>
          <w:rFonts w:hint="eastAsia" w:ascii="新宋体" w:hAnsi="新宋体" w:eastAsia="新宋体" w:cs="新宋体"/>
          <w:b/>
          <w:color w:val="136EC2"/>
          <w:spacing w:val="8"/>
          <w:kern w:val="0"/>
          <w:sz w:val="28"/>
          <w:szCs w:val="28"/>
          <w:u w:val="single"/>
        </w:rPr>
        <w:fldChar w:fldCharType="end"/>
      </w:r>
      <w:r>
        <w:rPr>
          <w:rFonts w:hint="eastAsia" w:ascii="新宋体" w:hAnsi="新宋体" w:eastAsia="新宋体" w:cs="新宋体"/>
          <w:b/>
          <w:spacing w:val="8"/>
          <w:kern w:val="0"/>
          <w:sz w:val="28"/>
          <w:szCs w:val="28"/>
          <w:u w:val="single"/>
        </w:rPr>
        <w:t xml:space="preserve"> </w:t>
      </w:r>
    </w:p>
    <w:p>
      <w:pPr>
        <w:rPr>
          <w:rFonts w:hint="eastAsia" w:ascii="新宋体" w:hAnsi="新宋体" w:eastAsia="新宋体" w:cs="新宋体"/>
          <w:spacing w:val="8"/>
          <w:kern w:val="0"/>
          <w:sz w:val="28"/>
          <w:szCs w:val="28"/>
        </w:rPr>
      </w:pPr>
      <w:r>
        <w:rPr>
          <w:rFonts w:hint="eastAsia" w:ascii="新宋体" w:hAnsi="新宋体" w:eastAsia="新宋体" w:cs="新宋体"/>
          <w:spacing w:val="8"/>
          <w:kern w:val="0"/>
          <w:sz w:val="28"/>
          <w:szCs w:val="28"/>
        </w:rPr>
        <w:t>(式中</w:t>
      </w:r>
      <w:r>
        <w:rPr>
          <w:rFonts w:hint="eastAsia" w:ascii="新宋体" w:hAnsi="新宋体" w:eastAsia="新宋体" w:cs="新宋体"/>
          <w:i/>
          <w:iCs/>
          <w:spacing w:val="8"/>
          <w:kern w:val="0"/>
          <w:sz w:val="28"/>
          <w:szCs w:val="28"/>
        </w:rPr>
        <w:t>Q</w:t>
      </w:r>
      <w:r>
        <w:rPr>
          <w:rFonts w:hint="eastAsia" w:ascii="新宋体" w:hAnsi="新宋体" w:eastAsia="新宋体" w:cs="新宋体"/>
          <w:spacing w:val="8"/>
          <w:kern w:val="0"/>
          <w:sz w:val="28"/>
          <w:szCs w:val="28"/>
        </w:rPr>
        <w:t>为每分钟的进水量（吨）；</w:t>
      </w:r>
      <w:r>
        <w:rPr>
          <w:rFonts w:hint="eastAsia" w:ascii="新宋体" w:hAnsi="新宋体" w:eastAsia="新宋体" w:cs="新宋体"/>
          <w:i/>
          <w:iCs/>
          <w:spacing w:val="8"/>
          <w:kern w:val="0"/>
          <w:sz w:val="28"/>
          <w:szCs w:val="28"/>
        </w:rPr>
        <w:t>C</w:t>
      </w:r>
      <w:r>
        <w:rPr>
          <w:rFonts w:hint="eastAsia" w:ascii="新宋体" w:hAnsi="新宋体" w:eastAsia="新宋体" w:cs="新宋体"/>
          <w:spacing w:val="8"/>
          <w:kern w:val="0"/>
          <w:sz w:val="28"/>
          <w:szCs w:val="28"/>
        </w:rPr>
        <w:t>为进水系数（海水为0.6）；</w:t>
      </w:r>
      <w:r>
        <w:rPr>
          <w:rFonts w:hint="eastAsia" w:ascii="新宋体" w:hAnsi="新宋体" w:eastAsia="新宋体" w:cs="新宋体"/>
          <w:i/>
          <w:iCs/>
          <w:spacing w:val="8"/>
          <w:kern w:val="0"/>
          <w:sz w:val="28"/>
          <w:szCs w:val="28"/>
        </w:rPr>
        <w:t>A</w:t>
      </w:r>
      <w:r>
        <w:rPr>
          <w:rFonts w:hint="eastAsia" w:ascii="新宋体" w:hAnsi="新宋体" w:eastAsia="新宋体" w:cs="新宋体"/>
          <w:spacing w:val="8"/>
          <w:kern w:val="0"/>
          <w:sz w:val="28"/>
          <w:szCs w:val="28"/>
        </w:rPr>
        <w:t>为破洞面积(米2)；H为破洞中心至水面的距离（米）;h为破洞中心至破损舱内水面的距离（米）。)</w:t>
      </w:r>
    </w:p>
    <w:p>
      <w:pPr>
        <w:rPr>
          <w:rFonts w:hint="eastAsia" w:ascii="新宋体" w:hAnsi="新宋体" w:eastAsia="新宋体" w:cs="新宋体"/>
          <w:color w:val="000000"/>
          <w:sz w:val="28"/>
          <w:szCs w:val="28"/>
        </w:rPr>
      </w:pPr>
      <w:r>
        <w:rPr>
          <w:rFonts w:hint="eastAsia" w:ascii="新宋体" w:hAnsi="新宋体" w:eastAsia="新宋体" w:cs="新宋体"/>
          <w:spacing w:val="8"/>
          <w:sz w:val="28"/>
          <w:szCs w:val="28"/>
        </w:rPr>
        <w:t>(4)关闭甲板下方的全部水密门窗，利用舱底排水系统排出进入破舱的水。</w:t>
      </w:r>
    </w:p>
    <w:p>
      <w:pPr>
        <w:rPr>
          <w:rFonts w:hint="eastAsia" w:ascii="新宋体" w:hAnsi="新宋体" w:eastAsia="新宋体" w:cs="新宋体"/>
          <w:b/>
          <w:spacing w:val="8"/>
          <w:sz w:val="28"/>
          <w:szCs w:val="28"/>
        </w:rPr>
      </w:pPr>
      <w:r>
        <w:rPr>
          <w:rFonts w:hint="eastAsia" w:ascii="新宋体" w:hAnsi="新宋体" w:eastAsia="新宋体" w:cs="新宋体"/>
          <w:b/>
          <w:spacing w:val="8"/>
          <w:sz w:val="28"/>
          <w:szCs w:val="28"/>
        </w:rPr>
        <w:t>2.1.1.1堵漏实施</w:t>
      </w:r>
    </w:p>
    <w:p>
      <w:pPr>
        <w:rPr>
          <w:rFonts w:hint="eastAsia" w:ascii="新宋体" w:hAnsi="新宋体" w:eastAsia="新宋体" w:cs="新宋体"/>
          <w:spacing w:val="8"/>
          <w:sz w:val="28"/>
          <w:szCs w:val="28"/>
        </w:rPr>
      </w:pPr>
      <w:r>
        <w:rPr>
          <w:rFonts w:hint="eastAsia" w:ascii="新宋体" w:hAnsi="新宋体" w:eastAsia="新宋体" w:cs="新宋体"/>
          <w:spacing w:val="8"/>
          <w:sz w:val="28"/>
          <w:szCs w:val="28"/>
        </w:rPr>
        <w:t>(1) 堵漏前应在船周围布好围油栏，做好防止溢油流到海里的清污准备；</w:t>
      </w:r>
    </w:p>
    <w:p>
      <w:pPr>
        <w:rPr>
          <w:rFonts w:hint="eastAsia" w:ascii="新宋体" w:hAnsi="新宋体" w:eastAsia="新宋体" w:cs="新宋体"/>
          <w:spacing w:val="8"/>
          <w:sz w:val="28"/>
          <w:szCs w:val="28"/>
        </w:rPr>
      </w:pPr>
      <w:r>
        <w:rPr>
          <w:rFonts w:hint="eastAsia" w:ascii="新宋体" w:hAnsi="新宋体" w:eastAsia="新宋体" w:cs="新宋体"/>
          <w:spacing w:val="8"/>
          <w:sz w:val="28"/>
          <w:szCs w:val="28"/>
        </w:rPr>
        <w:t>(2) 在排水的同时，应组织应急清污作业人员使用各种器材进行堵漏。如破洞较小,可选用各种轻便器材,如木塞、木板、木楔、木柱、钩头螺栓等,从舷内堵塞;如破洞较大，可将帆布制的轻型堵漏毯或用钢索制的重型堵漏毯悬挂在舷外遮挡破洞，以阻止大量进水，然后再从舷内设置水泥箱，防止海水渗入；</w:t>
      </w:r>
    </w:p>
    <w:p>
      <w:pPr>
        <w:rPr>
          <w:rFonts w:hint="eastAsia" w:ascii="新宋体" w:hAnsi="新宋体" w:eastAsia="新宋体" w:cs="新宋体"/>
          <w:spacing w:val="8"/>
          <w:sz w:val="28"/>
          <w:szCs w:val="28"/>
        </w:rPr>
      </w:pPr>
      <w:r>
        <w:rPr>
          <w:rFonts w:hint="eastAsia" w:ascii="新宋体" w:hAnsi="新宋体" w:eastAsia="新宋体" w:cs="新宋体"/>
          <w:spacing w:val="8"/>
          <w:sz w:val="28"/>
          <w:szCs w:val="28"/>
        </w:rPr>
        <w:t>(3) 当邻舱进水，水密舱壁受到巨大压力时，为防止舱壁变形或破裂，须用木柱、木板等加以支撑。 堵漏器材应存放在船上易取用的安全处所，并由专人负责保管，不得移作他用。铁质部件要防止生锈，活动部件要经常加油润滑。纤维材料应经常通风，保证干燥，不使霉烂。专用水泥要定期检查，防止受潮硬化；</w:t>
      </w:r>
    </w:p>
    <w:p>
      <w:pPr>
        <w:rPr>
          <w:rFonts w:hint="eastAsia" w:ascii="新宋体" w:hAnsi="新宋体" w:eastAsia="新宋体" w:cs="新宋体"/>
          <w:spacing w:val="8"/>
          <w:sz w:val="28"/>
          <w:szCs w:val="28"/>
        </w:rPr>
      </w:pPr>
      <w:r>
        <w:rPr>
          <w:rFonts w:hint="eastAsia" w:ascii="新宋体" w:hAnsi="新宋体" w:eastAsia="新宋体" w:cs="新宋体"/>
          <w:spacing w:val="8"/>
          <w:sz w:val="28"/>
          <w:szCs w:val="28"/>
        </w:rPr>
        <w:t>(4) 为使抢险堵漏工作及时有效，船上编制有堵漏应急部署表，规定有关船员在堵漏工作中的任务。平时按部署表定期演习，使船员熟悉职责，临危不乱，迅速、熟练地完成抢险任务。</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2.1.2应急卸载控制方案</w:t>
      </w:r>
    </w:p>
    <w:p>
      <w:pPr>
        <w:ind w:firstLine="560" w:firstLineChars="20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当船舶发生碰撞、搁浅、机舱失火等事故后，可能引起船舶沉没、翻覆或侧倾等，而导致燃油或其他油类的溢出而造成的污染。对可能沉没、翻覆或侧倾的船舶内的燃油或其他油类的进行卸载，防止溢油造成污染。</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2.1.2.1作业准备</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系泊安排，在船舶周围布好围油栏，</w:t>
      </w:r>
      <w:r>
        <w:rPr>
          <w:rFonts w:hint="eastAsia" w:ascii="新宋体" w:hAnsi="新宋体" w:eastAsia="新宋体" w:cs="新宋体"/>
          <w:spacing w:val="8"/>
          <w:sz w:val="28"/>
          <w:szCs w:val="28"/>
        </w:rPr>
        <w:t>做好防止溢油流到海里的清污准备；</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卸载期间预计的最大吃水和干舷高度；</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卸载的顺序；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压载水、污油水的布局和数量，如果可以处理的话，先处理；</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将要卸载货油的数量和特点；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 完全明白紧急停止卸载的信号；</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 确定卸载的管路；</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 完全清楚卸载管道的所允许的压力；</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 卸载的速度（启动时的速度；最大卸载速度；输送速度）；</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 油舱的通风或充惰性气体的操作方法的详细说明；</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(11) 从启动到停止以及改变输送速度所需要的时间；</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(12) 当发生溢油时，采取的行动步骤。</w:t>
      </w:r>
    </w:p>
    <w:p>
      <w:pPr>
        <w:rPr>
          <w:rFonts w:hint="eastAsia" w:ascii="新宋体" w:hAnsi="新宋体" w:eastAsia="新宋体" w:cs="新宋体"/>
          <w:color w:val="000000"/>
          <w:sz w:val="28"/>
          <w:szCs w:val="28"/>
        </w:rPr>
      </w:pPr>
      <w:r>
        <w:rPr>
          <w:rFonts w:hint="eastAsia" w:ascii="新宋体" w:hAnsi="新宋体" w:eastAsia="新宋体" w:cs="新宋体"/>
          <w:b/>
          <w:color w:val="000000"/>
          <w:sz w:val="28"/>
          <w:szCs w:val="28"/>
        </w:rPr>
        <w:t>特别注意：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（1）要安排值班人员进行巡视；</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（2）软管的质量要可靠，位置要适当；</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（3）压力安全阀安装要正确；要有可靠的通讯；</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（4）软管接头要安全可靠；</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（5）法兰盘接头要安装牢固并且密封好；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（6）作业区间要有合适的照明；</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（7）关闭并检查可能把油排入海里的所有阀门；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（8）关闭好不用货油舱和燃油舱的接头；</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（9）堵塞好甲板上的排水口；</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（10）接头下方要放置空的集油容器；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（11）当发生溢油时，清除油污的材料要适用；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（12）事前要进行演练，保证正确理解程序和命令。</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2.1.2.2作业实施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为了保证所有接头和软管不漏油，软管和管路里不会产生过高压力，输油操作开始是，应以低速进行；</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当证实了没有漏油的情况，货油才可进入预定的管路和油舱，软管与管路里没有过高压力以后，才可以把输油速度增加到操作计划里指明的最大限度；</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(3)安全值班人员还应该定期检查。</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（1.1）船体是否有溢漏；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（1.2）货油没有漏入隔离舱或者没有漏到不打算装油的舱室；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（1.3）海水阀是否漏油；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（1.4）管路和软管里是否存在过高压力；</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（1.5）系泊安排；</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（1.6）软管的状况是否良好；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（1.7）应该反复核对油舱的膨胀余位与所装油的数量。</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2.1.2.3作业完成</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（1）应保证每一个装油的油舱都留有适当的膨胀余位；</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（2）当要求停止输油操作时，应该有充裕的时间通知泵站；</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（3）当没有安装止回阀时，应采取一起必要措施，防止油倒流现象；</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（4）在拆卸软管之前，应该保证软管里的油已排干，并保证油船上的集油器有足够的空间接收拆卸软管时可能剩余的油，在从油船上拆卸软管之前，应该把软管一端用盲板堵好；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（5）操作完成后，应该保证系统里所有阀门都已经关闭，货油舱的所有通道口也已经关闭。</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2.1.2.4停止作业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当发生下列情况时，应该停止操作：</w:t>
      </w:r>
    </w:p>
    <w:p>
      <w:pPr>
        <w:numPr>
          <w:ilvl w:val="0"/>
          <w:numId w:val="2"/>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风力和海况超出系泊安全操作允许的限度；</w:t>
      </w:r>
    </w:p>
    <w:p>
      <w:pPr>
        <w:numPr>
          <w:ilvl w:val="0"/>
          <w:numId w:val="2"/>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发现海水阀或船体跑油；</w:t>
      </w:r>
    </w:p>
    <w:p>
      <w:pPr>
        <w:numPr>
          <w:ilvl w:val="0"/>
          <w:numId w:val="2"/>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货油系统出现不可预见的压力下降；</w:t>
      </w:r>
    </w:p>
    <w:p>
      <w:pPr>
        <w:numPr>
          <w:ilvl w:val="0"/>
          <w:numId w:val="2"/>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发现有火灾危险；</w:t>
      </w:r>
    </w:p>
    <w:p>
      <w:pPr>
        <w:numPr>
          <w:ilvl w:val="0"/>
          <w:numId w:val="2"/>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发现软管、接头、系泊地的管路或甲板管路有漏油；</w:t>
      </w:r>
    </w:p>
    <w:p>
      <w:pPr>
        <w:numPr>
          <w:ilvl w:val="0"/>
          <w:numId w:val="2"/>
        </w:numPr>
        <w:rPr>
          <w:rFonts w:hint="eastAsia" w:ascii="新宋体" w:hAnsi="新宋体" w:eastAsia="新宋体" w:cs="新宋体"/>
          <w:b/>
          <w:color w:val="000000"/>
          <w:sz w:val="28"/>
          <w:szCs w:val="28"/>
        </w:rPr>
      </w:pPr>
      <w:r>
        <w:rPr>
          <w:rFonts w:hint="eastAsia" w:ascii="新宋体" w:hAnsi="新宋体" w:eastAsia="新宋体" w:cs="新宋体"/>
          <w:color w:val="000000"/>
          <w:sz w:val="28"/>
          <w:szCs w:val="28"/>
        </w:rPr>
        <w:t>发现会造成跑油事故的故障或损坏。</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3保护服务区域内的主要敏感资源的围护方案</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3.1服务区域内的主要敏感资源</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3.1.1连云港港敏感资源分类</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A类：非常重要资源，对溢油极为敏感；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B类：重要资源，对溢油非常敏感；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C类：次重要资源，对溢油比较敏感；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D类：一般资源，对溢油敏感性一般。</w:t>
      </w:r>
    </w:p>
    <w:p>
      <w:pPr>
        <w:rPr>
          <w:rFonts w:hint="eastAsia" w:ascii="新宋体" w:hAnsi="新宋体" w:eastAsia="新宋体" w:cs="新宋体"/>
          <w:b/>
          <w:sz w:val="28"/>
          <w:szCs w:val="28"/>
        </w:rPr>
      </w:pPr>
      <w:r>
        <w:rPr>
          <w:rFonts w:hint="eastAsia" w:ascii="新宋体" w:hAnsi="新宋体" w:eastAsia="新宋体" w:cs="新宋体"/>
          <w:color w:val="000000"/>
          <w:sz w:val="28"/>
          <w:szCs w:val="28"/>
        </w:rPr>
        <w:t>3.1.2</w:t>
      </w:r>
      <w:r>
        <w:rPr>
          <w:rFonts w:hint="eastAsia" w:ascii="新宋体" w:hAnsi="新宋体" w:eastAsia="新宋体" w:cs="新宋体"/>
          <w:sz w:val="28"/>
          <w:szCs w:val="28"/>
        </w:rPr>
        <w:t>服务区主要敏感资源</w:t>
      </w:r>
    </w:p>
    <w:tbl>
      <w:tblPr>
        <w:tblStyle w:val="5"/>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2316"/>
        <w:gridCol w:w="2076"/>
        <w:gridCol w:w="855"/>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序号</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敏感资源名称</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位置</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敏感等级</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1</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竹岛自然保护区</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竹岛</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A</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珍稀鸟类和蛇类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2</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连岛海滨浴场</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位于连岛外侧</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A</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连云港重要旅游景区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3</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秦山岛附近水域</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秦山岛</w:t>
            </w:r>
          </w:p>
        </w:tc>
        <w:tc>
          <w:tcPr>
            <w:tcW w:w="855" w:type="dxa"/>
            <w:vAlign w:val="center"/>
          </w:tcPr>
          <w:p>
            <w:pPr>
              <w:spacing w:line="360" w:lineRule="auto"/>
              <w:jc w:val="center"/>
              <w:rPr>
                <w:rFonts w:hint="eastAsia" w:ascii="新宋体" w:hAnsi="新宋体" w:eastAsia="新宋体" w:cs="新宋体"/>
              </w:rPr>
            </w:pPr>
            <w:r>
              <w:rPr>
                <w:rFonts w:hint="eastAsia" w:ascii="新宋体" w:hAnsi="新宋体" w:eastAsia="新宋体" w:cs="新宋体"/>
                <w:sz w:val="24"/>
              </w:rPr>
              <w:t>A</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旅游景区；大量珍贵鱼类和贝类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4</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前三岛附近水域</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前三岛</w:t>
            </w:r>
          </w:p>
        </w:tc>
        <w:tc>
          <w:tcPr>
            <w:tcW w:w="855" w:type="dxa"/>
            <w:vAlign w:val="top"/>
          </w:tcPr>
          <w:p>
            <w:pPr>
              <w:spacing w:line="360" w:lineRule="auto"/>
              <w:jc w:val="center"/>
              <w:rPr>
                <w:rFonts w:hint="eastAsia" w:ascii="新宋体" w:hAnsi="新宋体" w:eastAsia="新宋体" w:cs="新宋体"/>
              </w:rPr>
            </w:pPr>
            <w:r>
              <w:rPr>
                <w:rFonts w:hint="eastAsia" w:ascii="新宋体" w:hAnsi="新宋体" w:eastAsia="新宋体" w:cs="新宋体"/>
                <w:sz w:val="24"/>
              </w:rPr>
              <w:t>A</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旅游景区；大量珍贵鱼类和贝类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5</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连云港港外养殖区</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港口水域邻近</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A</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有大量紫菜、珍贵鱼类和贝类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6</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田湾核电站取水口</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港口水域南邻近</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B</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取水口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7</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水上体育训练中心</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港口水域北邻近</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B</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江苏省体育用海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8</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在海一方公园</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港口内</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B</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市重要公园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9</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海州湾渔场</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港口水域邻近</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C</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国家八大渔场之一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4"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10</w:t>
            </w:r>
          </w:p>
        </w:tc>
        <w:tc>
          <w:tcPr>
            <w:tcW w:w="231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岸线和港口设施</w:t>
            </w:r>
          </w:p>
        </w:tc>
        <w:tc>
          <w:tcPr>
            <w:tcW w:w="2076"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内港区</w:t>
            </w:r>
          </w:p>
        </w:tc>
        <w:tc>
          <w:tcPr>
            <w:tcW w:w="855" w:type="dxa"/>
            <w:vAlign w:val="center"/>
          </w:tcPr>
          <w:p>
            <w:pPr>
              <w:spacing w:line="360" w:lineRule="auto"/>
              <w:jc w:val="center"/>
              <w:rPr>
                <w:rFonts w:hint="eastAsia" w:ascii="新宋体" w:hAnsi="新宋体" w:eastAsia="新宋体" w:cs="新宋体"/>
                <w:sz w:val="24"/>
              </w:rPr>
            </w:pPr>
            <w:r>
              <w:rPr>
                <w:rFonts w:hint="eastAsia" w:ascii="新宋体" w:hAnsi="新宋体" w:eastAsia="新宋体" w:cs="新宋体"/>
                <w:sz w:val="24"/>
              </w:rPr>
              <w:t>B</w:t>
            </w:r>
          </w:p>
        </w:tc>
        <w:tc>
          <w:tcPr>
            <w:tcW w:w="2603" w:type="dxa"/>
            <w:vAlign w:val="center"/>
          </w:tcPr>
          <w:p>
            <w:pPr>
              <w:spacing w:line="360" w:lineRule="auto"/>
              <w:rPr>
                <w:rFonts w:hint="eastAsia" w:ascii="新宋体" w:hAnsi="新宋体" w:eastAsia="新宋体" w:cs="新宋体"/>
                <w:sz w:val="24"/>
              </w:rPr>
            </w:pPr>
            <w:r>
              <w:rPr>
                <w:rFonts w:hint="eastAsia" w:ascii="新宋体" w:hAnsi="新宋体" w:eastAsia="新宋体" w:cs="新宋体"/>
                <w:sz w:val="24"/>
              </w:rPr>
              <w:t>船舶人员密集</w:t>
            </w:r>
          </w:p>
        </w:tc>
      </w:tr>
    </w:tbl>
    <w:p>
      <w:pPr>
        <w:rPr>
          <w:rFonts w:hint="eastAsia" w:ascii="新宋体" w:hAnsi="新宋体" w:eastAsia="新宋体" w:cs="新宋体"/>
          <w:b/>
          <w:sz w:val="28"/>
          <w:szCs w:val="28"/>
        </w:rPr>
      </w:pPr>
      <w:r>
        <w:rPr>
          <w:rFonts w:hint="eastAsia" w:ascii="新宋体" w:hAnsi="新宋体" w:eastAsia="新宋体" w:cs="新宋体"/>
          <w:b/>
          <w:color w:val="000000"/>
          <w:sz w:val="28"/>
          <w:szCs w:val="28"/>
        </w:rPr>
        <w:t>3.2</w:t>
      </w:r>
      <w:r>
        <w:rPr>
          <w:rFonts w:hint="eastAsia" w:ascii="新宋体" w:hAnsi="新宋体" w:eastAsia="新宋体" w:cs="新宋体"/>
          <w:b/>
          <w:sz w:val="28"/>
          <w:szCs w:val="28"/>
        </w:rPr>
        <w:t>服务区主要敏感资源保护原则</w:t>
      </w:r>
    </w:p>
    <w:p>
      <w:pPr>
        <w:rPr>
          <w:rFonts w:hint="eastAsia" w:ascii="新宋体" w:hAnsi="新宋体" w:eastAsia="新宋体" w:cs="新宋体"/>
          <w:sz w:val="28"/>
          <w:szCs w:val="28"/>
        </w:rPr>
      </w:pPr>
      <w:r>
        <w:rPr>
          <w:rFonts w:hint="eastAsia" w:ascii="新宋体" w:hAnsi="新宋体" w:eastAsia="新宋体" w:cs="新宋体"/>
          <w:sz w:val="28"/>
          <w:szCs w:val="28"/>
        </w:rPr>
        <w:t>3.2.1任何情况下，都应最先保障人命安全与健康；</w:t>
      </w:r>
    </w:p>
    <w:p>
      <w:pPr>
        <w:rPr>
          <w:rFonts w:hint="eastAsia" w:ascii="新宋体" w:hAnsi="新宋体" w:eastAsia="新宋体" w:cs="新宋体"/>
          <w:sz w:val="28"/>
          <w:szCs w:val="28"/>
        </w:rPr>
      </w:pPr>
      <w:r>
        <w:rPr>
          <w:rFonts w:hint="eastAsia" w:ascii="新宋体" w:hAnsi="新宋体" w:eastAsia="新宋体" w:cs="新宋体"/>
          <w:sz w:val="28"/>
          <w:szCs w:val="28"/>
        </w:rPr>
        <w:t>3.2.2 及早采取措施，防止污染向敏感区域扩散；</w:t>
      </w:r>
    </w:p>
    <w:p>
      <w:pPr>
        <w:rPr>
          <w:rFonts w:hint="eastAsia" w:ascii="新宋体" w:hAnsi="新宋体" w:eastAsia="新宋体" w:cs="新宋体"/>
          <w:sz w:val="28"/>
          <w:szCs w:val="28"/>
        </w:rPr>
      </w:pPr>
      <w:r>
        <w:rPr>
          <w:rFonts w:hint="eastAsia" w:ascii="新宋体" w:hAnsi="新宋体" w:eastAsia="新宋体" w:cs="新宋体"/>
          <w:sz w:val="28"/>
          <w:szCs w:val="28"/>
        </w:rPr>
        <w:t>3.2.3由于设备、材料和人力限制，不能对所有敏感区域提供保护时，按优先次序对重要区域优先作出保护；</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3.2.4决定优先保护次序，可以考虑如下几个因素：    </w:t>
      </w:r>
    </w:p>
    <w:p>
      <w:pPr>
        <w:rPr>
          <w:rFonts w:hint="eastAsia" w:ascii="新宋体" w:hAnsi="新宋体" w:eastAsia="新宋体" w:cs="新宋体"/>
          <w:sz w:val="28"/>
          <w:szCs w:val="28"/>
        </w:rPr>
      </w:pPr>
      <w:r>
        <w:rPr>
          <w:rFonts w:hint="eastAsia" w:ascii="新宋体" w:hAnsi="新宋体" w:eastAsia="新宋体" w:cs="新宋体"/>
          <w:sz w:val="28"/>
          <w:szCs w:val="28"/>
        </w:rPr>
        <w:t>(1)该区域可能遭受油污染损害的程度；</w:t>
      </w:r>
    </w:p>
    <w:p>
      <w:pPr>
        <w:rPr>
          <w:rFonts w:hint="eastAsia" w:ascii="新宋体" w:hAnsi="新宋体" w:eastAsia="新宋体" w:cs="新宋体"/>
          <w:sz w:val="28"/>
          <w:szCs w:val="28"/>
        </w:rPr>
      </w:pPr>
      <w:r>
        <w:rPr>
          <w:rFonts w:hint="eastAsia" w:ascii="新宋体" w:hAnsi="新宋体" w:eastAsia="新宋体" w:cs="新宋体"/>
          <w:sz w:val="28"/>
          <w:szCs w:val="28"/>
        </w:rPr>
        <w:t>(2)围护该敏感区域可能达到的效果；</w:t>
      </w:r>
    </w:p>
    <w:p>
      <w:pPr>
        <w:rPr>
          <w:rFonts w:hint="eastAsia" w:ascii="新宋体" w:hAnsi="新宋体" w:eastAsia="新宋体" w:cs="新宋体"/>
          <w:sz w:val="28"/>
          <w:szCs w:val="28"/>
        </w:rPr>
      </w:pPr>
      <w:r>
        <w:rPr>
          <w:rFonts w:hint="eastAsia" w:ascii="新宋体" w:hAnsi="新宋体" w:eastAsia="新宋体" w:cs="新宋体"/>
          <w:sz w:val="28"/>
          <w:szCs w:val="28"/>
        </w:rPr>
        <w:t>(3)清除工作的能力和效果；</w:t>
      </w:r>
    </w:p>
    <w:p>
      <w:pPr>
        <w:rPr>
          <w:rFonts w:hint="eastAsia" w:ascii="新宋体" w:hAnsi="新宋体" w:eastAsia="新宋体" w:cs="新宋体"/>
          <w:b/>
          <w:color w:val="000000"/>
          <w:sz w:val="28"/>
          <w:szCs w:val="28"/>
        </w:rPr>
      </w:pPr>
      <w:r>
        <w:rPr>
          <w:rFonts w:hint="eastAsia" w:ascii="新宋体" w:hAnsi="新宋体" w:eastAsia="新宋体" w:cs="新宋体"/>
          <w:sz w:val="28"/>
          <w:szCs w:val="28"/>
        </w:rPr>
        <w:t>(4)敏感资源撤离的可能性。</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3.3服务区主要敏感资源的围护方案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3.3.1 围护的设备</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辅助船舶、岸滩围油栏、围油栏、吸油拖栏等</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3.3.2 围护的方案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3.3.2.1 根据潮流、风向确定围护的形式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3.3.2.2  4级以上海况的围护形式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两艘辅助船舶拖带1000米1500mm规格的围油栏，并用锚将围油栏固定围控溢油；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使用多道围油栏，并用锚将围油栏固定切断溢油；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A、B类敏感区域不得喷洒溢油分散剂；</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必要时，采用高压水龙在溢油边缘喷水阻止溢油流向敏感区域。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3.3.2.3  4级以下海况的围护形式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两艘负责船舶拖带1000米900mm规格的围油栏，并用锚将围油栏固定围控溢油；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(2)两艘辅助船舶拖带1000米吸油拖栏将溢油围控；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A、B类敏感区域不得喷洒溢油分散剂；</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(4)必要时，采用高压水龙在溢油边缘喷水阻止溢油流向敏感区域。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3.3.2.4导向围控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利用围油栏将漂移的溢油引导向敏感程度相对较低的区域，以保护敏感程度较高的岸线区域，围油栏的布放呈弧形，一个弧连着一个弧布放</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3.3.2.5吸附围控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利用吸油拖栏沿岸线布放，因为吸油拖栏本身有吸附溢油的功能，实现保护岸线和围控岸线的目的</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4 海上污染物回收和清除方案</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4.1海上污染物控制和清除技术</w:t>
      </w:r>
    </w:p>
    <w:p>
      <w:pPr>
        <w:rPr>
          <w:rFonts w:hint="eastAsia" w:ascii="新宋体" w:hAnsi="新宋体" w:eastAsia="新宋体" w:cs="新宋体"/>
          <w:sz w:val="28"/>
          <w:szCs w:val="28"/>
        </w:rPr>
      </w:pPr>
      <w:r>
        <w:rPr>
          <w:rFonts w:hint="eastAsia" w:ascii="新宋体" w:hAnsi="新宋体" w:eastAsia="新宋体" w:cs="新宋体"/>
          <w:sz w:val="28"/>
          <w:szCs w:val="28"/>
        </w:rPr>
        <w:t>对于持久性的油类，应以围控、回收为主。对于非持久性油类，应以围控、清除为主。</w:t>
      </w:r>
    </w:p>
    <w:p>
      <w:pPr>
        <w:rPr>
          <w:rFonts w:hint="eastAsia" w:ascii="新宋体" w:hAnsi="新宋体" w:eastAsia="新宋体" w:cs="新宋体"/>
          <w:sz w:val="28"/>
          <w:szCs w:val="28"/>
        </w:rPr>
      </w:pPr>
      <w:r>
        <w:rPr>
          <w:rFonts w:hint="eastAsia" w:ascii="新宋体" w:hAnsi="新宋体" w:eastAsia="新宋体" w:cs="新宋体"/>
          <w:sz w:val="28"/>
          <w:szCs w:val="28"/>
        </w:rPr>
        <w:t>◆围油栏，一种作用是将溢油围控和集中，便于回收；另一种作用是将溢油进行拦截和导向。围油栏有多个种类和多个规格，分别适用于不同的目的和工作环境，应根据实际情况选用。</w:t>
      </w:r>
    </w:p>
    <w:p>
      <w:pPr>
        <w:rPr>
          <w:rFonts w:hint="eastAsia" w:ascii="新宋体" w:hAnsi="新宋体" w:eastAsia="新宋体" w:cs="新宋体"/>
          <w:sz w:val="28"/>
          <w:szCs w:val="28"/>
        </w:rPr>
      </w:pPr>
      <w:r>
        <w:rPr>
          <w:rFonts w:hint="eastAsia" w:ascii="新宋体" w:hAnsi="新宋体" w:eastAsia="新宋体" w:cs="新宋体"/>
          <w:sz w:val="28"/>
          <w:szCs w:val="28"/>
        </w:rPr>
        <w:t>◆溢油处理剂，主要用于处理大面积厚度较薄溢油，厚度大于1毫米不宜采用。另外，水温低于15℃，风浪较大的海况下，使用效果不理想。使用应获得主管机关批准。</w:t>
      </w:r>
    </w:p>
    <w:p>
      <w:pPr>
        <w:rPr>
          <w:rFonts w:hint="eastAsia" w:ascii="新宋体" w:hAnsi="新宋体" w:eastAsia="新宋体" w:cs="新宋体"/>
          <w:sz w:val="28"/>
          <w:szCs w:val="28"/>
        </w:rPr>
      </w:pPr>
      <w:r>
        <w:rPr>
          <w:rFonts w:hint="eastAsia" w:ascii="新宋体" w:hAnsi="新宋体" w:eastAsia="新宋体" w:cs="新宋体"/>
          <w:sz w:val="28"/>
          <w:szCs w:val="28"/>
        </w:rPr>
        <w:t>◆回收装置，包括收油机、撇油器等，独立设备或是配备在专用船上，主要回收较厚溢油。</w:t>
      </w:r>
    </w:p>
    <w:p>
      <w:pPr>
        <w:rPr>
          <w:rFonts w:hint="eastAsia" w:ascii="新宋体" w:hAnsi="新宋体" w:eastAsia="新宋体" w:cs="新宋体"/>
          <w:sz w:val="28"/>
          <w:szCs w:val="28"/>
        </w:rPr>
      </w:pPr>
      <w:r>
        <w:rPr>
          <w:rFonts w:hint="eastAsia" w:ascii="新宋体" w:hAnsi="新宋体" w:eastAsia="新宋体" w:cs="新宋体"/>
          <w:sz w:val="28"/>
          <w:szCs w:val="28"/>
        </w:rPr>
        <w:t>◆吸附材料，包括吸油毡、吸油拖拦及草席等，主要用于吸附较薄溢油。应用场合包括：油未扩散时清除围油栏以外的油，吸附较薄油层，溢油到达岸边不易处理时。吸附材料注意在油未扩散前集中密集使用，并及时回收。</w:t>
      </w:r>
    </w:p>
    <w:p>
      <w:pPr>
        <w:rPr>
          <w:rFonts w:hint="eastAsia" w:ascii="新宋体" w:hAnsi="新宋体" w:eastAsia="新宋体" w:cs="新宋体"/>
          <w:color w:val="000000"/>
          <w:sz w:val="28"/>
          <w:szCs w:val="28"/>
        </w:rPr>
      </w:pPr>
      <w:r>
        <w:rPr>
          <w:rFonts w:hint="eastAsia" w:ascii="新宋体" w:hAnsi="新宋体" w:eastAsia="新宋体" w:cs="新宋体"/>
          <w:b/>
          <w:color w:val="000000"/>
          <w:sz w:val="28"/>
          <w:szCs w:val="28"/>
        </w:rPr>
        <w:t>4.2海上污染物围控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4.2.1围控的方式：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“U”型围控：溢油应急处置船处于U字底部位置，并将船载侧挂收油机放入海中收油；（如图4）</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两艘辅助船舶从溢油应急处置船两侧分别逆流拉围油栏，将溢油围控；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“V”型围控：溢油应急处置船处于V字底部位置，并将船载收油机放入海中收油；（如图4）</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两艘辅助船舶从溢油应急处置船两侧分别逆流啦围油栏，将溢油围控；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“J”型围控：溢油应急处置船处于J字底部位置，并船载收油机放入海中收油；（如图4）</w:t>
      </w:r>
    </w:p>
    <w:p>
      <w:pPr>
        <w:rPr>
          <w:rFonts w:hint="eastAsia" w:ascii="新宋体" w:hAnsi="新宋体" w:eastAsia="新宋体" w:cs="新宋体"/>
          <w:lang w:val="en-US" w:eastAsia="zh-CN"/>
        </w:rPr>
      </w:pPr>
      <w:r>
        <w:rPr>
          <w:rFonts w:hint="eastAsia" w:ascii="新宋体" w:hAnsi="新宋体" w:eastAsia="新宋体" w:cs="新宋体"/>
          <w:color w:val="000000"/>
          <w:sz w:val="28"/>
          <w:szCs w:val="28"/>
        </w:rPr>
        <w:t>(6) 一艘辅助船从溢油应急处置船的侧面从左或右逆流拉围油栏，将溢油围控；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object>
          <v:shape id="_x0000_i1025" o:spt="75" type="#_x0000_t75" style="height:277.75pt;width:477.1pt;" o:ole="t" filled="f" stroked="f" coordsize="21600,21600">
            <v:path/>
            <v:fill on="f" focussize="0,0"/>
            <v:stroke on="f"/>
            <v:imagedata r:id="rId16" o:title=""/>
            <o:lock v:ext="edit" grouping="f" rotation="f" text="f" aspectratio="t"/>
            <w10:wrap type="none"/>
            <w10:anchorlock/>
          </v:shape>
          <o:OLEObject Type="Embed" ProgID="PowerPoint.Slide.8" ShapeID="_x0000_i1025" DrawAspect="Content" ObjectID="_1468075725" r:id="rId15">
            <o:LockedField>false</o:LockedField>
          </o:OLEObject>
        </w:object>
      </w:r>
      <w:r>
        <w:rPr>
          <w:rFonts w:hint="eastAsia" w:ascii="新宋体" w:hAnsi="新宋体" w:eastAsia="新宋体" w:cs="新宋体"/>
          <w:color w:val="000000"/>
          <w:sz w:val="28"/>
          <w:szCs w:val="28"/>
        </w:rPr>
        <w:t xml:space="preserve">                       </w:t>
      </w:r>
      <w:r>
        <w:rPr>
          <w:rFonts w:hint="eastAsia" w:ascii="新宋体" w:hAnsi="新宋体" w:eastAsia="新宋体" w:cs="新宋体"/>
          <w:color w:val="000000"/>
          <w:szCs w:val="21"/>
        </w:rPr>
        <w:t>图4围控形式</w:t>
      </w:r>
    </w:p>
    <w:p>
      <w:pPr>
        <w:rPr>
          <w:rFonts w:hint="eastAsia" w:ascii="新宋体" w:hAnsi="新宋体" w:eastAsia="新宋体" w:cs="新宋体"/>
          <w:color w:val="000000"/>
          <w:sz w:val="28"/>
          <w:szCs w:val="28"/>
        </w:rPr>
      </w:pP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 全封闭围控,将溢油事故船呈圆心围在中间；（如图5）</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object>
          <v:shape id="_x0000_i1026" o:spt="75" type="#_x0000_t75" style="height:297.75pt;width:477.1pt;" o:ole="t" filled="f" stroked="f" coordsize="21600,21600">
            <v:path/>
            <v:fill on="f" focussize="0,0"/>
            <v:stroke on="f"/>
            <v:imagedata r:id="rId18" o:title=""/>
            <o:lock v:ext="edit" grouping="f" rotation="f" text="f" aspectratio="t"/>
            <w10:wrap type="none"/>
            <w10:anchorlock/>
          </v:shape>
          <o:OLEObject Type="Embed" ProgID="PowerPoint.Slide.8" ShapeID="_x0000_i1026" DrawAspect="Content" ObjectID="_1468075726" r:id="rId17">
            <o:LockedField>false</o:LockedField>
          </o:OLEObject>
        </w:object>
      </w:r>
      <w:r>
        <w:rPr>
          <w:rFonts w:hint="eastAsia" w:ascii="新宋体" w:hAnsi="新宋体" w:eastAsia="新宋体" w:cs="新宋体"/>
          <w:color w:val="000000"/>
          <w:sz w:val="28"/>
          <w:szCs w:val="28"/>
        </w:rPr>
        <w:t xml:space="preserve">                            </w:t>
      </w:r>
      <w:r>
        <w:rPr>
          <w:rFonts w:hint="eastAsia" w:ascii="新宋体" w:hAnsi="新宋体" w:eastAsia="新宋体" w:cs="新宋体"/>
          <w:color w:val="000000"/>
          <w:szCs w:val="21"/>
        </w:rPr>
        <w:t>图5全封闭围控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 半封闭围控, 在溢油事故船的一侧将溢油进行围控；（如图6）</w:t>
      </w:r>
    </w:p>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object>
          <v:shape id="_x0000_i1027" o:spt="75" type="#_x0000_t75" style="height:296.15pt;width:473.15pt;" o:ole="t" filled="f" stroked="f" coordsize="21600,21600">
            <v:path/>
            <v:fill on="f" focussize="0,0"/>
            <v:stroke on="f"/>
            <v:imagedata r:id="rId20" o:title=""/>
            <o:lock v:ext="edit" grouping="f" rotation="f" text="f" aspectratio="t"/>
            <w10:wrap type="none"/>
            <w10:anchorlock/>
          </v:shape>
          <o:OLEObject Type="Embed" ProgID="PowerPoint.Slide.8" ShapeID="_x0000_i1027" DrawAspect="Content" ObjectID="_1468075727" r:id="rId19">
            <o:LockedField>false</o:LockedField>
          </o:OLEObject>
        </w:object>
      </w:r>
      <w:r>
        <w:rPr>
          <w:rFonts w:hint="eastAsia" w:ascii="新宋体" w:hAnsi="新宋体" w:eastAsia="新宋体" w:cs="新宋体"/>
          <w:color w:val="000000"/>
          <w:szCs w:val="21"/>
        </w:rPr>
        <w:t>图6半封闭围控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(9)“W”型围控, 由两艘携带收油机的船舶到达现场后，将围油栏呈“W”型将溢油围控；（如图7）</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object>
          <v:shape id="_x0000_i1028" o:spt="75" type="#_x0000_t75" style="height:288.55pt;width:468.05pt;" o:ole="t" filled="f" stroked="f" coordsize="21600,21600">
            <v:path/>
            <v:fill on="f" focussize="0,0"/>
            <v:stroke on="f"/>
            <v:imagedata r:id="rId22" o:title=""/>
            <o:lock v:ext="edit" grouping="f" rotation="f" text="f" aspectratio="t"/>
            <w10:wrap type="none"/>
            <w10:anchorlock/>
          </v:shape>
          <o:OLEObject Type="Embed" ProgID="PowerPoint.Slide.8" ShapeID="_x0000_i1028" DrawAspect="Content" ObjectID="_1468075728" r:id="rId21">
            <o:LockedField>false</o:LockedField>
          </o:OLEObject>
        </w:object>
      </w:r>
    </w:p>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图7  W型围控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 围油栏在各种情况下使用所需的长度；</w:t>
      </w:r>
    </w:p>
    <w:tbl>
      <w:tblPr>
        <w:tblStyle w:val="5"/>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2160"/>
        <w:gridCol w:w="3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8"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使用情况</w:t>
            </w:r>
          </w:p>
        </w:tc>
        <w:tc>
          <w:tcPr>
            <w:tcW w:w="2160"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使用场所</w:t>
            </w:r>
          </w:p>
        </w:tc>
        <w:tc>
          <w:tcPr>
            <w:tcW w:w="3734"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所需长度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8"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围住溢油船舶</w:t>
            </w:r>
          </w:p>
        </w:tc>
        <w:tc>
          <w:tcPr>
            <w:tcW w:w="2160"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近海或港口</w:t>
            </w:r>
          </w:p>
        </w:tc>
        <w:tc>
          <w:tcPr>
            <w:tcW w:w="3734"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（船长）×3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8"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船舶在码头作业时的泄漏</w:t>
            </w:r>
          </w:p>
        </w:tc>
        <w:tc>
          <w:tcPr>
            <w:tcW w:w="2160"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港口码头</w:t>
            </w:r>
          </w:p>
        </w:tc>
        <w:tc>
          <w:tcPr>
            <w:tcW w:w="3734"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（船长）×1.5×1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8"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船舶在连云港港码头</w:t>
            </w:r>
          </w:p>
        </w:tc>
        <w:tc>
          <w:tcPr>
            <w:tcW w:w="2160"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港口码头</w:t>
            </w:r>
          </w:p>
        </w:tc>
        <w:tc>
          <w:tcPr>
            <w:tcW w:w="3734"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（船长）×1.5×2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8"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与撇油器一起使用</w:t>
            </w:r>
          </w:p>
        </w:tc>
        <w:tc>
          <w:tcPr>
            <w:tcW w:w="2160"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近海</w:t>
            </w:r>
          </w:p>
        </w:tc>
        <w:tc>
          <w:tcPr>
            <w:tcW w:w="3734"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600-900米/每个撇油器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628"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保护河流的入海口</w:t>
            </w:r>
          </w:p>
        </w:tc>
        <w:tc>
          <w:tcPr>
            <w:tcW w:w="2160"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平静水</w:t>
            </w:r>
          </w:p>
        </w:tc>
        <w:tc>
          <w:tcPr>
            <w:tcW w:w="3734" w:type="dxa"/>
            <w:vAlign w:val="top"/>
          </w:tcPr>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3至4×（水体宽度）</w:t>
            </w:r>
          </w:p>
        </w:tc>
      </w:tr>
    </w:tbl>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(11) 近岸水域围控；</w:t>
      </w:r>
    </w:p>
    <w:p>
      <w:pPr>
        <w:ind w:firstLine="560" w:firstLineChars="20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对于潮间带、水陆交替区域，采用岸滩围油栏与固体浮子式围油栏连接使用。（如图8、图9）</w:t>
      </w:r>
    </w:p>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object>
          <v:shape id="_x0000_i1029" o:spt="75" type="#_x0000_t75" style="height:305.3pt;width:467.2pt;" o:ole="t" filled="f" o:preferrelative="t" stroked="f" coordsize="21600,21600">
            <v:path/>
            <v:fill on="f" focussize="0,0"/>
            <v:stroke on="f"/>
            <v:imagedata r:id="rId24" o:title=""/>
            <o:lock v:ext="edit" grouping="f" rotation="f" text="f" aspectratio="t"/>
            <w10:wrap type="none"/>
            <w10:anchorlock/>
          </v:shape>
          <o:OLEObject Type="Embed" ProgID="PowerPoint.Slide.8" ShapeID="_x0000_i1029" DrawAspect="Content" ObjectID="_1468075729" r:id="rId23">
            <o:LockedField>false</o:LockedField>
          </o:OLEObject>
        </w:object>
      </w:r>
      <w:r>
        <w:rPr>
          <w:rFonts w:hint="eastAsia" w:ascii="新宋体" w:hAnsi="新宋体" w:eastAsia="新宋体" w:cs="新宋体"/>
          <w:color w:val="000000"/>
          <w:szCs w:val="21"/>
        </w:rPr>
        <w:t>图8  岸线围油栏的布控</w:t>
      </w:r>
    </w:p>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drawing>
          <wp:inline distT="0" distB="0" distL="114300" distR="114300">
            <wp:extent cx="5783580" cy="3124835"/>
            <wp:effectExtent l="0" t="0" r="7620" b="18415"/>
            <wp:docPr id="33" name="图片 13"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descr="未标题-1 拷贝"/>
                    <pic:cNvPicPr>
                      <a:picLocks noChangeAspect="1"/>
                    </pic:cNvPicPr>
                  </pic:nvPicPr>
                  <pic:blipFill>
                    <a:blip r:embed="rId25"/>
                    <a:stretch>
                      <a:fillRect/>
                    </a:stretch>
                  </pic:blipFill>
                  <pic:spPr>
                    <a:xfrm>
                      <a:off x="0" y="0"/>
                      <a:ext cx="5783580" cy="3124835"/>
                    </a:xfrm>
                    <a:prstGeom prst="rect">
                      <a:avLst/>
                    </a:prstGeom>
                    <a:noFill/>
                    <a:ln w="9525">
                      <a:noFill/>
                    </a:ln>
                  </pic:spPr>
                </pic:pic>
              </a:graphicData>
            </a:graphic>
          </wp:inline>
        </w:drawing>
      </w:r>
    </w:p>
    <w:p>
      <w:pPr>
        <w:jc w:val="center"/>
        <w:rPr>
          <w:rFonts w:hint="eastAsia" w:ascii="新宋体" w:hAnsi="新宋体" w:eastAsia="新宋体" w:cs="新宋体"/>
          <w:color w:val="000000"/>
          <w:szCs w:val="21"/>
        </w:rPr>
      </w:pPr>
    </w:p>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Cs w:val="21"/>
        </w:rPr>
        <w:t>图9 岸线围油栏的布控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(12) 港口码头水域围控；</w:t>
      </w:r>
    </w:p>
    <w:p>
      <w:pPr>
        <w:ind w:firstLine="560" w:firstLineChars="20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在港口码头水域发生溢油时，可借助港口码头的位置，固定围油栏。（如图10）</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drawing>
          <wp:inline distT="0" distB="0" distL="114300" distR="114300">
            <wp:extent cx="5943600" cy="3554730"/>
            <wp:effectExtent l="0" t="0" r="0" b="7620"/>
            <wp:docPr id="3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4" descr="6"/>
                    <pic:cNvPicPr>
                      <a:picLocks noChangeAspect="1"/>
                    </pic:cNvPicPr>
                  </pic:nvPicPr>
                  <pic:blipFill>
                    <a:blip r:embed="rId26"/>
                    <a:stretch>
                      <a:fillRect/>
                    </a:stretch>
                  </pic:blipFill>
                  <pic:spPr>
                    <a:xfrm>
                      <a:off x="0" y="0"/>
                      <a:ext cx="5943600" cy="3554730"/>
                    </a:xfrm>
                    <a:prstGeom prst="rect">
                      <a:avLst/>
                    </a:prstGeom>
                    <a:noFill/>
                    <a:ln w="9525">
                      <a:noFill/>
                    </a:ln>
                  </pic:spPr>
                </pic:pic>
              </a:graphicData>
            </a:graphic>
          </wp:inline>
        </w:drawing>
      </w:r>
    </w:p>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图10 港口码头围油栏的布控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4.2.2注意事项</w:t>
      </w:r>
    </w:p>
    <w:p>
      <w:pPr>
        <w:numPr>
          <w:ilvl w:val="0"/>
          <w:numId w:val="3"/>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围控地点(选择流速相对比较低的区域)</w:t>
      </w:r>
    </w:p>
    <w:p>
      <w:pPr>
        <w:numPr>
          <w:ilvl w:val="0"/>
          <w:numId w:val="3"/>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围控的溢油要及时回收起来越快越好</w:t>
      </w:r>
    </w:p>
    <w:p>
      <w:pPr>
        <w:numPr>
          <w:ilvl w:val="0"/>
          <w:numId w:val="3"/>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注意围油栏干舷和强度</w:t>
      </w:r>
    </w:p>
    <w:p>
      <w:pPr>
        <w:numPr>
          <w:ilvl w:val="0"/>
          <w:numId w:val="3"/>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（要便于围控和回收作业）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4.1.3围油栏固定方法</w:t>
      </w:r>
    </w:p>
    <w:p>
      <w:pPr>
        <w:numPr>
          <w:ilvl w:val="0"/>
          <w:numId w:val="4"/>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锚和其他辅助器材</w:t>
      </w:r>
    </w:p>
    <w:p>
      <w:pPr>
        <w:numPr>
          <w:ilvl w:val="0"/>
          <w:numId w:val="4"/>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岸壁</w:t>
      </w:r>
    </w:p>
    <w:p>
      <w:pPr>
        <w:numPr>
          <w:ilvl w:val="0"/>
          <w:numId w:val="4"/>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船舶</w:t>
      </w:r>
    </w:p>
    <w:p>
      <w:pPr>
        <w:numPr>
          <w:ilvl w:val="0"/>
          <w:numId w:val="4"/>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树干</w:t>
      </w:r>
    </w:p>
    <w:p>
      <w:pPr>
        <w:numPr>
          <w:ilvl w:val="0"/>
          <w:numId w:val="4"/>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其它配重物体（石头）</w:t>
      </w:r>
    </w:p>
    <w:p>
      <w:pPr>
        <w:numPr>
          <w:ilvl w:val="0"/>
          <w:numId w:val="4"/>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潮汐补偿器</w:t>
      </w:r>
    </w:p>
    <w:p>
      <w:p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4.2.4围油栏用锚</w:t>
      </w:r>
    </w:p>
    <w:p>
      <w:p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(1) 一般海况，锚绳长度是水深的5倍；</w:t>
      </w:r>
      <w:r>
        <w:rPr>
          <w:rFonts w:hint="eastAsia" w:ascii="新宋体" w:hAnsi="新宋体" w:eastAsia="新宋体" w:cs="新宋体"/>
          <w:bCs/>
          <w:color w:val="000000"/>
          <w:sz w:val="28"/>
          <w:szCs w:val="28"/>
        </w:rPr>
        <w:br w:type="textWrapping"/>
      </w:r>
      <w:r>
        <w:rPr>
          <w:rFonts w:hint="eastAsia" w:ascii="新宋体" w:hAnsi="新宋体" w:eastAsia="新宋体" w:cs="新宋体"/>
          <w:bCs/>
          <w:color w:val="000000"/>
          <w:sz w:val="28"/>
          <w:szCs w:val="28"/>
        </w:rPr>
        <w:t>(2) 平静水域，锚绳长度是水深的3倍；</w:t>
      </w:r>
      <w:r>
        <w:rPr>
          <w:rFonts w:hint="eastAsia" w:ascii="新宋体" w:hAnsi="新宋体" w:eastAsia="新宋体" w:cs="新宋体"/>
          <w:bCs/>
          <w:color w:val="000000"/>
          <w:sz w:val="28"/>
          <w:szCs w:val="28"/>
        </w:rPr>
        <w:br w:type="textWrapping"/>
      </w:r>
      <w:r>
        <w:rPr>
          <w:rFonts w:hint="eastAsia" w:ascii="新宋体" w:hAnsi="新宋体" w:eastAsia="新宋体" w:cs="新宋体"/>
          <w:bCs/>
          <w:color w:val="000000"/>
          <w:sz w:val="28"/>
          <w:szCs w:val="28"/>
        </w:rPr>
        <w:t>(3) 恶劣海况下，锚绳长度是水深的7倍。</w:t>
      </w:r>
    </w:p>
    <w:p>
      <w:p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4.2.5溢油围控作业注意事项</w:t>
      </w:r>
    </w:p>
    <w:p>
      <w:pPr>
        <w:numPr>
          <w:ilvl w:val="0"/>
          <w:numId w:val="5"/>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使用辅助船舶拖带，避免发生扭曲</w:t>
      </w:r>
    </w:p>
    <w:p>
      <w:pPr>
        <w:numPr>
          <w:ilvl w:val="0"/>
          <w:numId w:val="5"/>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根据发生事故的情况，布放两道或两道以上的围油栏</w:t>
      </w:r>
    </w:p>
    <w:p>
      <w:pPr>
        <w:numPr>
          <w:ilvl w:val="0"/>
          <w:numId w:val="5"/>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注意潮流方向/流速</w:t>
      </w:r>
    </w:p>
    <w:p>
      <w:pPr>
        <w:numPr>
          <w:ilvl w:val="0"/>
          <w:numId w:val="5"/>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布放角度</w:t>
      </w:r>
    </w:p>
    <w:p>
      <w:pPr>
        <w:numPr>
          <w:ilvl w:val="0"/>
          <w:numId w:val="5"/>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谨慎操作</w:t>
      </w:r>
    </w:p>
    <w:p>
      <w:pPr>
        <w:numPr>
          <w:ilvl w:val="0"/>
          <w:numId w:val="5"/>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切忌在锋利的岩石表面上拽拉</w:t>
      </w:r>
    </w:p>
    <w:p>
      <w:pPr>
        <w:numPr>
          <w:ilvl w:val="0"/>
          <w:numId w:val="5"/>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定期监控（调整围控形式、接头部位、及 时回收围控的溢油）</w:t>
      </w:r>
    </w:p>
    <w:p>
      <w:pPr>
        <w:numPr>
          <w:ilvl w:val="0"/>
          <w:numId w:val="5"/>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清除长期布放的围油栏上的杂物</w:t>
      </w:r>
    </w:p>
    <w:p>
      <w:pPr>
        <w:numPr>
          <w:ilvl w:val="0"/>
          <w:numId w:val="5"/>
        </w:numPr>
        <w:rPr>
          <w:rFonts w:hint="eastAsia" w:ascii="新宋体" w:hAnsi="新宋体" w:eastAsia="新宋体" w:cs="新宋体"/>
          <w:b/>
          <w:bCs/>
          <w:color w:val="000000"/>
          <w:sz w:val="28"/>
          <w:szCs w:val="28"/>
        </w:rPr>
      </w:pPr>
      <w:r>
        <w:rPr>
          <w:rFonts w:hint="eastAsia" w:ascii="新宋体" w:hAnsi="新宋体" w:eastAsia="新宋体" w:cs="新宋体"/>
          <w:bCs/>
          <w:color w:val="000000"/>
          <w:sz w:val="28"/>
          <w:szCs w:val="28"/>
        </w:rPr>
        <w:t>夜间应设置警示标志</w:t>
      </w:r>
    </w:p>
    <w:p>
      <w:pPr>
        <w:rPr>
          <w:rFonts w:hint="eastAsia" w:ascii="新宋体" w:hAnsi="新宋体" w:eastAsia="新宋体" w:cs="新宋体"/>
          <w:bCs/>
          <w:color w:val="000000"/>
          <w:sz w:val="24"/>
        </w:rPr>
      </w:pPr>
      <w:r>
        <w:rPr>
          <w:rFonts w:hint="eastAsia" w:ascii="新宋体" w:hAnsi="新宋体" w:eastAsia="新宋体" w:cs="新宋体"/>
          <w:b/>
          <w:sz w:val="24"/>
        </w:rPr>
        <w:t>特别注意：清洗围油栏时，应将船上的泄水口堵住，防止清洗的污水流入海里。清洗污水暂在污油水舱，和废损的围油栏一并交污油水处理厂与危险废物处理单位作无害化处理。</w:t>
      </w:r>
    </w:p>
    <w:p>
      <w:pPr>
        <w:rPr>
          <w:rFonts w:hint="eastAsia" w:ascii="新宋体" w:hAnsi="新宋体" w:eastAsia="新宋体" w:cs="新宋体"/>
          <w:b/>
          <w:bCs/>
          <w:color w:val="000000"/>
          <w:sz w:val="28"/>
          <w:szCs w:val="28"/>
        </w:rPr>
      </w:pPr>
      <w:r>
        <w:rPr>
          <w:rFonts w:hint="eastAsia" w:ascii="新宋体" w:hAnsi="新宋体" w:eastAsia="新宋体" w:cs="新宋体"/>
          <w:b/>
          <w:bCs/>
          <w:color w:val="000000"/>
          <w:sz w:val="28"/>
          <w:szCs w:val="28"/>
        </w:rPr>
        <w:t>4.3海上污染物回收和清除</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4.3.1撇油器回收溢油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4.3.1.1堰式撇油器（如图11）</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堰式撇油器的构成</w:t>
      </w:r>
    </w:p>
    <w:p>
      <w:pPr>
        <w:numPr>
          <w:ilvl w:val="0"/>
          <w:numId w:val="6"/>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撇油器浮体</w:t>
      </w:r>
    </w:p>
    <w:p>
      <w:pPr>
        <w:numPr>
          <w:ilvl w:val="0"/>
          <w:numId w:val="6"/>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集油器</w:t>
      </w:r>
    </w:p>
    <w:p>
      <w:pPr>
        <w:numPr>
          <w:ilvl w:val="0"/>
          <w:numId w:val="6"/>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堰边高度调整装置</w:t>
      </w:r>
    </w:p>
    <w:p>
      <w:pPr>
        <w:numPr>
          <w:ilvl w:val="0"/>
          <w:numId w:val="6"/>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动力系统</w:t>
      </w:r>
    </w:p>
    <w:p>
      <w:pPr>
        <w:numPr>
          <w:ilvl w:val="0"/>
          <w:numId w:val="6"/>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传输系统组成</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堰式撇油器的收油原理</w:t>
      </w:r>
    </w:p>
    <w:p>
      <w:pPr>
        <w:numPr>
          <w:ilvl w:val="0"/>
          <w:numId w:val="7"/>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利用溢油重力和流动性，通过堰边使油膜流进集油器</w:t>
      </w:r>
    </w:p>
    <w:p>
      <w:pPr>
        <w:numPr>
          <w:ilvl w:val="0"/>
          <w:numId w:val="7"/>
        </w:numPr>
        <w:rPr>
          <w:rFonts w:hint="eastAsia" w:ascii="新宋体" w:hAnsi="新宋体" w:eastAsia="新宋体" w:cs="新宋体"/>
          <w:color w:val="000000"/>
          <w:sz w:val="28"/>
          <w:szCs w:val="28"/>
        </w:rPr>
      </w:pPr>
      <w:r>
        <w:rPr>
          <w:rFonts w:hint="eastAsia" w:ascii="新宋体" w:hAnsi="新宋体" w:eastAsia="新宋体" w:cs="新宋体"/>
          <w:bCs/>
          <w:color w:val="000000"/>
          <w:sz w:val="28"/>
          <w:szCs w:val="28"/>
        </w:rPr>
        <w:t xml:space="preserve">通过泵将集油器内的溢油泵送到储油容器里 </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堰式撇油器的特点</w:t>
      </w:r>
    </w:p>
    <w:p>
      <w:pPr>
        <w:numPr>
          <w:ilvl w:val="0"/>
          <w:numId w:val="8"/>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适用波高小于0.3m的平静水域</w:t>
      </w:r>
    </w:p>
    <w:p>
      <w:pPr>
        <w:numPr>
          <w:ilvl w:val="0"/>
          <w:numId w:val="8"/>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回收中、低粘度溢油</w:t>
      </w:r>
    </w:p>
    <w:p>
      <w:pPr>
        <w:numPr>
          <w:ilvl w:val="0"/>
          <w:numId w:val="8"/>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回收量大(但含水也多）</w:t>
      </w:r>
    </w:p>
    <w:p>
      <w:pPr>
        <w:numPr>
          <w:ilvl w:val="0"/>
          <w:numId w:val="8"/>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对垃圾敏感、受粘度影响大</w:t>
      </w:r>
    </w:p>
    <w:p>
      <w:pPr>
        <w:numPr>
          <w:ilvl w:val="0"/>
          <w:numId w:val="8"/>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需要起吊设备配合（大型）</w:t>
      </w:r>
    </w:p>
    <w:p>
      <w:pPr>
        <w:numPr>
          <w:ilvl w:val="0"/>
          <w:numId w:val="8"/>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操作技术要求较高</w:t>
      </w:r>
    </w:p>
    <w:p>
      <w:pPr>
        <w:numPr>
          <w:ilvl w:val="0"/>
          <w:numId w:val="8"/>
        </w:numPr>
        <w:rPr>
          <w:rFonts w:hint="eastAsia" w:ascii="新宋体" w:hAnsi="新宋体" w:eastAsia="新宋体" w:cs="新宋体"/>
          <w:color w:val="000000"/>
          <w:sz w:val="28"/>
          <w:szCs w:val="28"/>
        </w:rPr>
      </w:pPr>
      <w:r>
        <w:rPr>
          <w:rFonts w:hint="eastAsia" w:ascii="新宋体" w:hAnsi="新宋体" w:eastAsia="新宋体" w:cs="新宋体"/>
          <w:bCs/>
          <w:color w:val="000000"/>
          <w:sz w:val="28"/>
          <w:szCs w:val="28"/>
        </w:rPr>
        <w:t xml:space="preserve">油层相对较厚 </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drawing>
          <wp:inline distT="0" distB="0" distL="114300" distR="114300">
            <wp:extent cx="6172200" cy="3205480"/>
            <wp:effectExtent l="0" t="0" r="0" b="1397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27"/>
                    <a:stretch>
                      <a:fillRect/>
                    </a:stretch>
                  </pic:blipFill>
                  <pic:spPr>
                    <a:xfrm>
                      <a:off x="0" y="0"/>
                      <a:ext cx="6172200" cy="3205480"/>
                    </a:xfrm>
                    <a:prstGeom prst="rect">
                      <a:avLst/>
                    </a:prstGeom>
                    <a:noFill/>
                    <a:ln w="9525">
                      <a:noFill/>
                    </a:ln>
                  </pic:spPr>
                </pic:pic>
              </a:graphicData>
            </a:graphic>
          </wp:inline>
        </w:drawing>
      </w:r>
    </w:p>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图11 堰式撇油器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4.3.1.2盘式撇油器（如图12）</w:t>
      </w:r>
    </w:p>
    <w:p>
      <w:pPr>
        <w:jc w:val="center"/>
        <w:rPr>
          <w:rFonts w:hint="eastAsia" w:ascii="新宋体" w:hAnsi="新宋体" w:eastAsia="新宋体" w:cs="新宋体"/>
          <w:color w:val="000000"/>
          <w:szCs w:val="21"/>
        </w:rPr>
      </w:pPr>
      <w:r>
        <w:rPr>
          <w:rFonts w:hint="eastAsia" w:ascii="新宋体" w:hAnsi="新宋体" w:eastAsia="新宋体" w:cs="新宋体"/>
          <w:color w:val="000000"/>
          <w:sz w:val="28"/>
          <w:szCs w:val="28"/>
        </w:rPr>
        <w:drawing>
          <wp:inline distT="0" distB="0" distL="114300" distR="114300">
            <wp:extent cx="6059170" cy="3328670"/>
            <wp:effectExtent l="0" t="0" r="17780" b="5080"/>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28"/>
                    <a:stretch>
                      <a:fillRect/>
                    </a:stretch>
                  </pic:blipFill>
                  <pic:spPr>
                    <a:xfrm>
                      <a:off x="0" y="0"/>
                      <a:ext cx="6059170" cy="3328670"/>
                    </a:xfrm>
                    <a:prstGeom prst="rect">
                      <a:avLst/>
                    </a:prstGeom>
                    <a:noFill/>
                    <a:ln w="9525">
                      <a:noFill/>
                    </a:ln>
                  </pic:spPr>
                </pic:pic>
              </a:graphicData>
            </a:graphic>
          </wp:inline>
        </w:drawing>
      </w:r>
      <w:r>
        <w:rPr>
          <w:rFonts w:hint="eastAsia" w:ascii="新宋体" w:hAnsi="新宋体" w:eastAsia="新宋体" w:cs="新宋体"/>
          <w:color w:val="000000"/>
          <w:szCs w:val="21"/>
        </w:rPr>
        <w:t>图12 盘式撇油器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盘式撇油器的特点</w:t>
      </w:r>
    </w:p>
    <w:p>
      <w:pPr>
        <w:numPr>
          <w:ilvl w:val="0"/>
          <w:numId w:val="9"/>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中、低粘度油</w:t>
      </w:r>
    </w:p>
    <w:p>
      <w:pPr>
        <w:numPr>
          <w:ilvl w:val="0"/>
          <w:numId w:val="9"/>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平静水域/封闭水域/海上</w:t>
      </w:r>
    </w:p>
    <w:p>
      <w:pPr>
        <w:numPr>
          <w:ilvl w:val="0"/>
          <w:numId w:val="9"/>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刮片容易被垃圾卡住</w:t>
      </w:r>
    </w:p>
    <w:p>
      <w:pPr>
        <w:numPr>
          <w:ilvl w:val="0"/>
          <w:numId w:val="9"/>
        </w:num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不能回收分散剂处理过的溢油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4.3.1.3刷式撇油器（如图13）</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drawing>
          <wp:inline distT="0" distB="0" distL="114300" distR="114300">
            <wp:extent cx="6057265" cy="2802255"/>
            <wp:effectExtent l="0" t="0" r="635" b="17145"/>
            <wp:docPr id="37" name="图片 17" descr="DSC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descr="DSC01390"/>
                    <pic:cNvPicPr>
                      <a:picLocks noChangeAspect="1"/>
                    </pic:cNvPicPr>
                  </pic:nvPicPr>
                  <pic:blipFill>
                    <a:blip r:embed="rId29"/>
                    <a:stretch>
                      <a:fillRect/>
                    </a:stretch>
                  </pic:blipFill>
                  <pic:spPr>
                    <a:xfrm>
                      <a:off x="0" y="0"/>
                      <a:ext cx="6057265" cy="2802255"/>
                    </a:xfrm>
                    <a:prstGeom prst="rect">
                      <a:avLst/>
                    </a:prstGeom>
                    <a:noFill/>
                    <a:ln w="9525">
                      <a:noFill/>
                    </a:ln>
                  </pic:spPr>
                </pic:pic>
              </a:graphicData>
            </a:graphic>
          </wp:inline>
        </w:drawing>
      </w:r>
    </w:p>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图13 刷式撇油器</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4.3.2撇油器的操作</w:t>
      </w:r>
    </w:p>
    <w:p>
      <w:pPr>
        <w:rPr>
          <w:rFonts w:hint="eastAsia" w:ascii="新宋体" w:hAnsi="新宋体" w:eastAsia="新宋体" w:cs="新宋体"/>
          <w:b/>
          <w:sz w:val="28"/>
          <w:szCs w:val="28"/>
        </w:rPr>
      </w:pPr>
      <w:r>
        <w:rPr>
          <w:rFonts w:hint="eastAsia" w:ascii="新宋体" w:hAnsi="新宋体" w:eastAsia="新宋体" w:cs="新宋体"/>
          <w:b/>
          <w:sz w:val="28"/>
          <w:szCs w:val="28"/>
        </w:rPr>
        <w:t>4.3.2.1 ZSY30收油机操作</w:t>
      </w:r>
    </w:p>
    <w:p>
      <w:pPr>
        <w:rPr>
          <w:rFonts w:hint="eastAsia" w:ascii="新宋体" w:hAnsi="新宋体" w:eastAsia="新宋体" w:cs="新宋体"/>
          <w:b/>
          <w:sz w:val="28"/>
          <w:szCs w:val="28"/>
        </w:rPr>
      </w:pPr>
      <w:r>
        <w:rPr>
          <w:rFonts w:hint="eastAsia" w:ascii="新宋体" w:hAnsi="新宋体" w:eastAsia="新宋体" w:cs="新宋体"/>
          <w:sz w:val="28"/>
          <w:szCs w:val="28"/>
        </w:rPr>
        <w:t xml:space="preserve">4.3.2.1.1 </w:t>
      </w:r>
      <w:r>
        <w:rPr>
          <w:rFonts w:hint="eastAsia" w:ascii="新宋体" w:hAnsi="新宋体" w:eastAsia="新宋体" w:cs="新宋体"/>
          <w:b/>
          <w:sz w:val="28"/>
          <w:szCs w:val="28"/>
        </w:rPr>
        <w:t>准备工作</w:t>
      </w:r>
    </w:p>
    <w:p>
      <w:pPr>
        <w:rPr>
          <w:rFonts w:hint="eastAsia" w:ascii="新宋体" w:hAnsi="新宋体" w:eastAsia="新宋体" w:cs="新宋体"/>
          <w:b/>
          <w:sz w:val="28"/>
          <w:szCs w:val="28"/>
        </w:rPr>
      </w:pPr>
      <w:r>
        <w:rPr>
          <w:rFonts w:hint="eastAsia" w:ascii="新宋体" w:hAnsi="新宋体" w:eastAsia="新宋体" w:cs="新宋体"/>
          <w:sz w:val="28"/>
          <w:szCs w:val="28"/>
        </w:rPr>
        <w:t>（1）使用前先行检查，看紧固部位是否松动：输油管是否破损：阀门等各部位是否灵活好用：油箱液压油位是否符合要求。检查无误后接好液压油管：絟好绳索，接好截扣；</w:t>
      </w:r>
    </w:p>
    <w:p>
      <w:pPr>
        <w:rPr>
          <w:rFonts w:hint="eastAsia" w:ascii="新宋体" w:hAnsi="新宋体" w:eastAsia="新宋体" w:cs="新宋体"/>
          <w:sz w:val="28"/>
          <w:szCs w:val="28"/>
        </w:rPr>
      </w:pPr>
      <w:r>
        <w:rPr>
          <w:rFonts w:hint="eastAsia" w:ascii="新宋体" w:hAnsi="新宋体" w:eastAsia="新宋体" w:cs="新宋体"/>
          <w:sz w:val="28"/>
          <w:szCs w:val="28"/>
        </w:rPr>
        <w:t>（2）液压操作台的液压油出口、入口，与收油机液压马达的入口、出口成对配置;液压油管两端的液压快速接头，也是成对配置的；因此快速接头对接后，油路即能正确接通；</w:t>
      </w:r>
    </w:p>
    <w:p>
      <w:pPr>
        <w:rPr>
          <w:rFonts w:hint="eastAsia" w:ascii="新宋体" w:hAnsi="新宋体" w:eastAsia="新宋体" w:cs="新宋体"/>
          <w:sz w:val="28"/>
          <w:szCs w:val="28"/>
        </w:rPr>
      </w:pPr>
      <w:r>
        <w:rPr>
          <w:rFonts w:hint="eastAsia" w:ascii="新宋体" w:hAnsi="新宋体" w:eastAsia="新宋体" w:cs="新宋体"/>
          <w:sz w:val="28"/>
          <w:szCs w:val="28"/>
        </w:rPr>
        <w:t>（3）20m长的波纹钢丝软管，由快速接头连接收油机主机、输油泵进口；管体自然伸开，与液压油管一同展开；</w:t>
      </w:r>
    </w:p>
    <w:p>
      <w:pPr>
        <w:rPr>
          <w:rFonts w:hint="eastAsia" w:ascii="新宋体" w:hAnsi="新宋体" w:eastAsia="新宋体" w:cs="新宋体"/>
          <w:sz w:val="28"/>
          <w:szCs w:val="28"/>
        </w:rPr>
      </w:pPr>
      <w:r>
        <w:rPr>
          <w:rFonts w:hint="eastAsia" w:ascii="新宋体" w:hAnsi="新宋体" w:eastAsia="新宋体" w:cs="新宋体"/>
          <w:sz w:val="28"/>
          <w:szCs w:val="28"/>
        </w:rPr>
        <w:t>（4）油箱中液压油，粘度为17～38cst（推存使用L-HM46CH11118I-94抗磨液压油），液压油位不低于液位计最低位。</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4.3.2.1.2 </w:t>
      </w:r>
      <w:r>
        <w:rPr>
          <w:rFonts w:hint="eastAsia" w:ascii="新宋体" w:hAnsi="新宋体" w:eastAsia="新宋体" w:cs="新宋体"/>
          <w:b/>
          <w:sz w:val="28"/>
          <w:szCs w:val="28"/>
        </w:rPr>
        <w:t>试车：</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（1）准备无误后，放松溢流阀、节流阀，收油机先不下水，连接无误后，进行试运行。调节柴油机油门，然后开动柴油机电门，发动柴油机。（详见柴油机说明书）；</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（2）观察收油机转盘动情况，液压油压力情况，缓缓调整溢流阀，使工作压力在4-8MPa，收油机转动正常。缓缓调整节流阀，使收油机转盘的转速在40-100转／分。</w:t>
      </w:r>
    </w:p>
    <w:p>
      <w:pPr>
        <w:rPr>
          <w:rFonts w:hint="eastAsia" w:ascii="新宋体" w:hAnsi="新宋体" w:eastAsia="新宋体" w:cs="新宋体"/>
          <w:b/>
          <w:sz w:val="28"/>
          <w:szCs w:val="28"/>
        </w:rPr>
      </w:pPr>
      <w:r>
        <w:rPr>
          <w:rFonts w:hint="eastAsia" w:ascii="新宋体" w:hAnsi="新宋体" w:eastAsia="新宋体" w:cs="新宋体"/>
          <w:sz w:val="28"/>
          <w:szCs w:val="28"/>
        </w:rPr>
        <w:t xml:space="preserve">4.3.2.1.3 </w:t>
      </w:r>
      <w:r>
        <w:rPr>
          <w:rFonts w:hint="eastAsia" w:ascii="新宋体" w:hAnsi="新宋体" w:eastAsia="新宋体" w:cs="新宋体"/>
          <w:b/>
          <w:sz w:val="28"/>
          <w:szCs w:val="28"/>
        </w:rPr>
        <w:t>开车</w:t>
      </w:r>
    </w:p>
    <w:p>
      <w:pPr>
        <w:rPr>
          <w:rFonts w:hint="eastAsia" w:ascii="新宋体" w:hAnsi="新宋体" w:eastAsia="新宋体" w:cs="新宋体"/>
          <w:sz w:val="28"/>
          <w:szCs w:val="28"/>
        </w:rPr>
      </w:pPr>
      <w:r>
        <w:rPr>
          <w:rFonts w:hint="eastAsia" w:ascii="新宋体" w:hAnsi="新宋体" w:eastAsia="新宋体" w:cs="新宋体"/>
          <w:b/>
          <w:sz w:val="28"/>
          <w:szCs w:val="28"/>
        </w:rPr>
        <w:t xml:space="preserve"> （</w:t>
      </w:r>
      <w:r>
        <w:rPr>
          <w:rFonts w:hint="eastAsia" w:ascii="新宋体" w:hAnsi="新宋体" w:eastAsia="新宋体" w:cs="新宋体"/>
          <w:sz w:val="28"/>
          <w:szCs w:val="28"/>
        </w:rPr>
        <w:t>1）试运行无误后，将收油机吊放在水面上，用绳索固定收油机，或牵动绳索移动收油机至要求水域。然后开动柴油机，开车收油；</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2）收油过程中，即时通过调节节流阀，调整粘油盘转速，使收油、输油平衡，防止输油泵吸空、空转。以减少输油泵隔膜的磨损。根据溢油粘度不同，收油机转盘阻力不同，调整溢流阀压力，确保转盘转动平衡。</w:t>
      </w:r>
    </w:p>
    <w:p>
      <w:pPr>
        <w:rPr>
          <w:rFonts w:hint="eastAsia" w:ascii="新宋体" w:hAnsi="新宋体" w:eastAsia="新宋体" w:cs="新宋体"/>
          <w:b/>
          <w:sz w:val="28"/>
          <w:szCs w:val="28"/>
        </w:rPr>
      </w:pPr>
      <w:r>
        <w:rPr>
          <w:rFonts w:hint="eastAsia" w:ascii="新宋体" w:hAnsi="新宋体" w:eastAsia="新宋体" w:cs="新宋体"/>
          <w:sz w:val="28"/>
          <w:szCs w:val="28"/>
        </w:rPr>
        <w:t xml:space="preserve">4.3.2.1.4 </w:t>
      </w:r>
      <w:r>
        <w:rPr>
          <w:rFonts w:hint="eastAsia" w:ascii="新宋体" w:hAnsi="新宋体" w:eastAsia="新宋体" w:cs="新宋体"/>
          <w:b/>
          <w:sz w:val="28"/>
          <w:szCs w:val="28"/>
        </w:rPr>
        <w:t>停车：</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收油完毕后，将柴油机油门关小，运行一段时间后，再将油门完全关闭。</w:t>
      </w:r>
    </w:p>
    <w:p>
      <w:pPr>
        <w:rPr>
          <w:rFonts w:hint="eastAsia" w:ascii="新宋体" w:hAnsi="新宋体" w:eastAsia="新宋体" w:cs="新宋体"/>
          <w:b/>
          <w:sz w:val="28"/>
          <w:szCs w:val="28"/>
        </w:rPr>
      </w:pPr>
      <w:r>
        <w:rPr>
          <w:rFonts w:hint="eastAsia" w:ascii="新宋体" w:hAnsi="新宋体" w:eastAsia="新宋体" w:cs="新宋体"/>
          <w:sz w:val="28"/>
          <w:szCs w:val="28"/>
        </w:rPr>
        <w:t xml:space="preserve">4.3.2.1.5 </w:t>
      </w:r>
      <w:r>
        <w:rPr>
          <w:rFonts w:hint="eastAsia" w:ascii="新宋体" w:hAnsi="新宋体" w:eastAsia="新宋体" w:cs="新宋体"/>
          <w:b/>
          <w:sz w:val="28"/>
          <w:szCs w:val="28"/>
        </w:rPr>
        <w:t>使用和保养</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第一、使用前</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（1）调节机架上泵的位置，使三角皮带张紧到适当程度；</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（2）检查电池电量是否充足，接线处是否可靠；</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（3）按“B-36A三缸活塞泵使用说明书”作准备工作；</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（4）按柴油机使用说明书作准备工作；</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（5）接好吸排管、喷枪。</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第二、使用</w:t>
      </w:r>
    </w:p>
    <w:p>
      <w:pPr>
        <w:rPr>
          <w:rFonts w:hint="eastAsia" w:ascii="新宋体" w:hAnsi="新宋体" w:eastAsia="新宋体" w:cs="新宋体"/>
          <w:sz w:val="28"/>
          <w:szCs w:val="28"/>
        </w:rPr>
      </w:pPr>
      <w:r>
        <w:rPr>
          <w:rFonts w:hint="eastAsia" w:ascii="新宋体" w:hAnsi="新宋体" w:eastAsia="新宋体" w:cs="新宋体"/>
          <w:sz w:val="28"/>
          <w:szCs w:val="28"/>
        </w:rPr>
        <w:t>（1）在起动前，必须将吸液管放入液体中；</w:t>
      </w:r>
    </w:p>
    <w:p>
      <w:pPr>
        <w:rPr>
          <w:rFonts w:hint="eastAsia" w:ascii="新宋体" w:hAnsi="新宋体" w:eastAsia="新宋体" w:cs="新宋体"/>
          <w:sz w:val="28"/>
          <w:szCs w:val="28"/>
        </w:rPr>
      </w:pPr>
      <w:r>
        <w:rPr>
          <w:rFonts w:hint="eastAsia" w:ascii="新宋体" w:hAnsi="新宋体" w:eastAsia="新宋体" w:cs="新宋体"/>
          <w:sz w:val="28"/>
          <w:szCs w:val="28"/>
        </w:rPr>
        <w:t>（2）将柴油机启动，将喷枪开启，接引液阀杆，过后喷洒不必再按引液阀杆即能工作。（注意：喷枪不能对人，以防止造成伤害）；</w:t>
      </w:r>
    </w:p>
    <w:p>
      <w:pPr>
        <w:rPr>
          <w:rFonts w:hint="eastAsia" w:ascii="新宋体" w:hAnsi="新宋体" w:eastAsia="新宋体" w:cs="新宋体"/>
          <w:sz w:val="28"/>
          <w:szCs w:val="28"/>
        </w:rPr>
      </w:pPr>
      <w:r>
        <w:rPr>
          <w:rFonts w:hint="eastAsia" w:ascii="新宋体" w:hAnsi="新宋体" w:eastAsia="新宋体" w:cs="新宋体"/>
          <w:sz w:val="28"/>
          <w:szCs w:val="28"/>
        </w:rPr>
        <w:t>（3）起动后，继续运转3-5分钟，然后加压，压力以2-3MPa为宜；</w:t>
      </w:r>
    </w:p>
    <w:p>
      <w:pPr>
        <w:rPr>
          <w:rFonts w:hint="eastAsia" w:ascii="新宋体" w:hAnsi="新宋体" w:eastAsia="新宋体" w:cs="新宋体"/>
          <w:sz w:val="28"/>
          <w:szCs w:val="28"/>
        </w:rPr>
      </w:pPr>
      <w:r>
        <w:rPr>
          <w:rFonts w:hint="eastAsia" w:ascii="新宋体" w:hAnsi="新宋体" w:eastAsia="新宋体" w:cs="新宋体"/>
          <w:sz w:val="28"/>
          <w:szCs w:val="28"/>
        </w:rPr>
        <w:t>（4）根据溢油分布情况，旋转调节喷枪前端的喷咀以改变射程和雾化状态，一般以落水时雾滴直径为0.4~.07毫米左右，溢油乳化分散效果最好。</w:t>
      </w:r>
    </w:p>
    <w:p>
      <w:pPr>
        <w:rPr>
          <w:rFonts w:hint="eastAsia" w:ascii="新宋体" w:hAnsi="新宋体" w:eastAsia="新宋体" w:cs="新宋体"/>
          <w:sz w:val="28"/>
          <w:szCs w:val="28"/>
        </w:rPr>
      </w:pPr>
      <w:r>
        <w:rPr>
          <w:rFonts w:hint="eastAsia" w:ascii="新宋体" w:hAnsi="新宋体" w:eastAsia="新宋体" w:cs="新宋体"/>
          <w:sz w:val="28"/>
          <w:szCs w:val="28"/>
        </w:rPr>
        <w:t>第三、保养</w:t>
      </w:r>
    </w:p>
    <w:p>
      <w:pPr>
        <w:rPr>
          <w:rFonts w:hint="eastAsia" w:ascii="新宋体" w:hAnsi="新宋体" w:eastAsia="新宋体" w:cs="新宋体"/>
          <w:sz w:val="28"/>
          <w:szCs w:val="28"/>
        </w:rPr>
      </w:pPr>
      <w:r>
        <w:rPr>
          <w:rFonts w:hint="eastAsia" w:ascii="新宋体" w:hAnsi="新宋体" w:eastAsia="新宋体" w:cs="新宋体"/>
          <w:sz w:val="28"/>
          <w:szCs w:val="28"/>
        </w:rPr>
        <w:t>（1）检查油位，并注入足够的N15-N32机械油，保持在油位线上；</w:t>
      </w:r>
    </w:p>
    <w:p>
      <w:pPr>
        <w:rPr>
          <w:rFonts w:hint="eastAsia" w:ascii="新宋体" w:hAnsi="新宋体" w:eastAsia="新宋体" w:cs="新宋体"/>
          <w:sz w:val="28"/>
          <w:szCs w:val="28"/>
        </w:rPr>
      </w:pPr>
      <w:r>
        <w:rPr>
          <w:rFonts w:hint="eastAsia" w:ascii="新宋体" w:hAnsi="新宋体" w:eastAsia="新宋体" w:cs="新宋体"/>
          <w:sz w:val="28"/>
          <w:szCs w:val="28"/>
        </w:rPr>
        <w:t>（2）泵的曲轴箱内润滑油每运转200小时更换一次；</w:t>
      </w:r>
    </w:p>
    <w:p>
      <w:pPr>
        <w:rPr>
          <w:rFonts w:hint="eastAsia" w:ascii="新宋体" w:hAnsi="新宋体" w:eastAsia="新宋体" w:cs="新宋体"/>
          <w:sz w:val="28"/>
          <w:szCs w:val="28"/>
        </w:rPr>
      </w:pPr>
      <w:r>
        <w:rPr>
          <w:rFonts w:hint="eastAsia" w:ascii="新宋体" w:hAnsi="新宋体" w:eastAsia="新宋体" w:cs="新宋体"/>
          <w:sz w:val="28"/>
          <w:szCs w:val="28"/>
        </w:rPr>
        <w:t>（3）如有其它液体进入曲轴箱内，应及时换油；</w:t>
      </w:r>
    </w:p>
    <w:p>
      <w:pPr>
        <w:rPr>
          <w:rFonts w:hint="eastAsia" w:ascii="新宋体" w:hAnsi="新宋体" w:eastAsia="新宋体" w:cs="新宋体"/>
          <w:sz w:val="28"/>
          <w:szCs w:val="28"/>
        </w:rPr>
      </w:pPr>
      <w:r>
        <w:rPr>
          <w:rFonts w:hint="eastAsia" w:ascii="新宋体" w:hAnsi="新宋体" w:eastAsia="新宋体" w:cs="新宋体"/>
          <w:sz w:val="28"/>
          <w:szCs w:val="28"/>
        </w:rPr>
        <w:t>(4)柴油机保养按柴油机使用说明书。</w:t>
      </w:r>
    </w:p>
    <w:p>
      <w:pPr>
        <w:rPr>
          <w:rFonts w:hint="eastAsia" w:ascii="新宋体" w:hAnsi="新宋体" w:eastAsia="新宋体" w:cs="新宋体"/>
          <w:sz w:val="28"/>
          <w:szCs w:val="28"/>
        </w:rPr>
      </w:pPr>
      <w:r>
        <w:rPr>
          <w:rFonts w:hint="eastAsia" w:ascii="新宋体" w:hAnsi="新宋体" w:eastAsia="新宋体" w:cs="新宋体"/>
          <w:sz w:val="28"/>
          <w:szCs w:val="28"/>
        </w:rPr>
        <w:t>第四、长期存放</w:t>
      </w:r>
    </w:p>
    <w:p>
      <w:pPr>
        <w:rPr>
          <w:rFonts w:hint="eastAsia" w:ascii="新宋体" w:hAnsi="新宋体" w:eastAsia="新宋体" w:cs="新宋体"/>
          <w:sz w:val="28"/>
          <w:szCs w:val="28"/>
        </w:rPr>
      </w:pPr>
      <w:r>
        <w:rPr>
          <w:rFonts w:hint="eastAsia" w:ascii="新宋体" w:hAnsi="新宋体" w:eastAsia="新宋体" w:cs="新宋体"/>
          <w:sz w:val="28"/>
          <w:szCs w:val="28"/>
        </w:rPr>
        <w:t>（1）长期存放，应彻底清除泵内积液，放松三角皮带；</w:t>
      </w:r>
    </w:p>
    <w:p>
      <w:pPr>
        <w:ind w:firstLine="140" w:firstLineChars="50"/>
        <w:rPr>
          <w:rFonts w:hint="eastAsia" w:ascii="新宋体" w:hAnsi="新宋体" w:eastAsia="新宋体" w:cs="新宋体"/>
          <w:sz w:val="24"/>
        </w:rPr>
      </w:pPr>
      <w:r>
        <w:rPr>
          <w:rFonts w:hint="eastAsia" w:ascii="新宋体" w:hAnsi="新宋体" w:eastAsia="新宋体" w:cs="新宋体"/>
          <w:sz w:val="28"/>
          <w:szCs w:val="28"/>
        </w:rPr>
        <w:t>(2）将机器放在干燥处，勿与腐蚀性化学品接触。</w:t>
      </w:r>
    </w:p>
    <w:p>
      <w:pPr>
        <w:pStyle w:val="2"/>
        <w:widowControl w:val="0"/>
        <w:numPr>
          <w:numId w:val="0"/>
        </w:numPr>
        <w:overflowPunct/>
        <w:autoSpaceDE/>
        <w:autoSpaceDN/>
        <w:adjustRightInd/>
        <w:spacing w:before="0" w:after="0"/>
        <w:textAlignment w:val="auto"/>
        <w:rPr>
          <w:rFonts w:hint="eastAsia" w:ascii="新宋体" w:hAnsi="新宋体" w:eastAsia="新宋体" w:cs="新宋体"/>
          <w:szCs w:val="28"/>
        </w:rPr>
      </w:pPr>
      <w:r>
        <w:rPr>
          <w:rFonts w:hint="eastAsia" w:ascii="新宋体" w:hAnsi="新宋体" w:eastAsia="新宋体" w:cs="新宋体"/>
          <w:szCs w:val="28"/>
        </w:rPr>
        <w:t>4.3.2.</w:t>
      </w:r>
      <w:bookmarkStart w:id="0" w:name="_Toc293488374"/>
      <w:r>
        <w:rPr>
          <w:rFonts w:hint="eastAsia" w:ascii="新宋体" w:hAnsi="新宋体" w:eastAsia="新宋体" w:cs="新宋体"/>
          <w:sz w:val="24"/>
          <w:szCs w:val="24"/>
        </w:rPr>
        <w:t xml:space="preserve"> </w:t>
      </w:r>
      <w:r>
        <w:rPr>
          <w:rFonts w:hint="eastAsia" w:ascii="新宋体" w:hAnsi="新宋体" w:eastAsia="新宋体" w:cs="新宋体"/>
          <w:szCs w:val="28"/>
        </w:rPr>
        <w:t>2复合式收油机收油操作</w:t>
      </w:r>
      <w:bookmarkEnd w:id="0"/>
      <w:bookmarkStart w:id="1" w:name="_Toc293488375"/>
    </w:p>
    <w:p>
      <w:pPr>
        <w:pStyle w:val="2"/>
        <w:widowControl w:val="0"/>
        <w:numPr>
          <w:numId w:val="0"/>
        </w:numPr>
        <w:overflowPunct/>
        <w:autoSpaceDE/>
        <w:autoSpaceDN/>
        <w:adjustRightInd/>
        <w:spacing w:before="0" w:after="0"/>
        <w:textAlignment w:val="auto"/>
        <w:rPr>
          <w:rFonts w:hint="eastAsia" w:ascii="新宋体" w:hAnsi="新宋体" w:eastAsia="新宋体" w:cs="新宋体"/>
        </w:rPr>
      </w:pPr>
      <w:r>
        <w:rPr>
          <w:rStyle w:val="7"/>
          <w:rFonts w:hint="eastAsia" w:ascii="新宋体" w:hAnsi="新宋体" w:eastAsia="新宋体" w:cs="新宋体"/>
          <w:b w:val="0"/>
          <w:color w:val="000000"/>
          <w:kern w:val="2"/>
          <w:sz w:val="24"/>
          <w:szCs w:val="24"/>
        </w:rPr>
        <w:t>4.3.2. 2.1</w:t>
      </w:r>
      <w:r>
        <w:rPr>
          <w:rFonts w:hint="eastAsia" w:ascii="新宋体" w:hAnsi="新宋体" w:eastAsia="新宋体" w:cs="新宋体"/>
        </w:rPr>
        <w:t>工作前准备</w:t>
      </w:r>
      <w:bookmarkEnd w:id="1"/>
    </w:p>
    <w:p>
      <w:pPr>
        <w:pStyle w:val="2"/>
        <w:widowControl w:val="0"/>
        <w:numPr>
          <w:numId w:val="0"/>
        </w:numPr>
        <w:overflowPunct/>
        <w:autoSpaceDE/>
        <w:autoSpaceDN/>
        <w:adjustRightInd/>
        <w:spacing w:before="0" w:after="0"/>
        <w:textAlignment w:val="auto"/>
        <w:rPr>
          <w:rFonts w:hint="eastAsia" w:ascii="新宋体" w:hAnsi="新宋体" w:eastAsia="新宋体" w:cs="新宋体"/>
          <w:szCs w:val="28"/>
        </w:rPr>
      </w:pPr>
      <w:r>
        <w:rPr>
          <w:rFonts w:hint="eastAsia" w:ascii="新宋体" w:hAnsi="新宋体" w:eastAsia="新宋体" w:cs="新宋体"/>
        </w:rPr>
        <w:t>(1) 确认液压动力站冷却水已供给；</w:t>
      </w:r>
    </w:p>
    <w:p>
      <w:pPr>
        <w:rPr>
          <w:rFonts w:hint="eastAsia" w:ascii="新宋体" w:hAnsi="新宋体" w:eastAsia="新宋体" w:cs="新宋体"/>
          <w:sz w:val="28"/>
          <w:szCs w:val="28"/>
        </w:rPr>
      </w:pPr>
      <w:r>
        <w:rPr>
          <w:rFonts w:hint="eastAsia" w:ascii="新宋体" w:hAnsi="新宋体" w:eastAsia="新宋体" w:cs="新宋体"/>
          <w:sz w:val="28"/>
          <w:szCs w:val="28"/>
        </w:rPr>
        <w:t>(2) 确认操控台收油机控制柜电源接通；</w:t>
      </w:r>
    </w:p>
    <w:p>
      <w:pPr>
        <w:rPr>
          <w:rFonts w:hint="eastAsia" w:ascii="新宋体" w:hAnsi="新宋体" w:eastAsia="新宋体" w:cs="新宋体"/>
          <w:sz w:val="28"/>
          <w:szCs w:val="28"/>
        </w:rPr>
      </w:pPr>
      <w:r>
        <w:rPr>
          <w:rFonts w:hint="eastAsia" w:ascii="新宋体" w:hAnsi="新宋体" w:eastAsia="新宋体" w:cs="新宋体"/>
          <w:sz w:val="28"/>
          <w:szCs w:val="28"/>
        </w:rPr>
        <w:t>(3) 确认甲板上各操控台的液压操作阀的各手柄均在中间停止位置；</w:t>
      </w:r>
    </w:p>
    <w:p>
      <w:pPr>
        <w:rPr>
          <w:rFonts w:hint="eastAsia" w:ascii="新宋体" w:hAnsi="新宋体" w:eastAsia="新宋体" w:cs="新宋体"/>
          <w:sz w:val="28"/>
          <w:szCs w:val="28"/>
        </w:rPr>
      </w:pPr>
      <w:r>
        <w:rPr>
          <w:rFonts w:hint="eastAsia" w:ascii="新宋体" w:hAnsi="新宋体" w:eastAsia="新宋体" w:cs="新宋体"/>
          <w:sz w:val="28"/>
          <w:szCs w:val="28"/>
        </w:rPr>
        <w:t>(4) 确认液压管路已连接，检查各液压管路是否泄漏；</w:t>
      </w:r>
    </w:p>
    <w:p>
      <w:pPr>
        <w:rPr>
          <w:rFonts w:hint="eastAsia" w:ascii="新宋体" w:hAnsi="新宋体" w:eastAsia="新宋体" w:cs="新宋体"/>
          <w:sz w:val="28"/>
          <w:szCs w:val="28"/>
        </w:rPr>
      </w:pPr>
      <w:r>
        <w:rPr>
          <w:rFonts w:hint="eastAsia" w:ascii="新宋体" w:hAnsi="新宋体" w:eastAsia="新宋体" w:cs="新宋体"/>
          <w:sz w:val="28"/>
          <w:szCs w:val="28"/>
        </w:rPr>
        <w:t>(5) 确认前甲板上液压起锚机压力管路上的截止阀已关闭；</w:t>
      </w:r>
    </w:p>
    <w:p>
      <w:pPr>
        <w:rPr>
          <w:rFonts w:hint="eastAsia" w:ascii="新宋体" w:hAnsi="新宋体" w:eastAsia="新宋体" w:cs="新宋体"/>
          <w:sz w:val="28"/>
          <w:szCs w:val="28"/>
        </w:rPr>
      </w:pPr>
      <w:r>
        <w:rPr>
          <w:rFonts w:hint="eastAsia" w:ascii="新宋体" w:hAnsi="新宋体" w:eastAsia="新宋体" w:cs="新宋体"/>
          <w:sz w:val="28"/>
          <w:szCs w:val="28"/>
        </w:rPr>
        <w:t>(6) 检查回收油装置各润滑点；</w:t>
      </w:r>
    </w:p>
    <w:p>
      <w:pPr>
        <w:rPr>
          <w:rFonts w:hint="eastAsia" w:ascii="新宋体" w:hAnsi="新宋体" w:eastAsia="新宋体" w:cs="新宋体"/>
          <w:sz w:val="28"/>
          <w:szCs w:val="28"/>
        </w:rPr>
      </w:pPr>
      <w:r>
        <w:rPr>
          <w:rFonts w:hint="eastAsia" w:ascii="新宋体" w:hAnsi="新宋体" w:eastAsia="新宋体" w:cs="新宋体"/>
          <w:sz w:val="28"/>
          <w:szCs w:val="28"/>
        </w:rPr>
        <w:t>(7) 确认导引围油栏与收油机的联接及各管线的连接；</w:t>
      </w:r>
    </w:p>
    <w:p>
      <w:pPr>
        <w:rPr>
          <w:rFonts w:hint="eastAsia" w:ascii="新宋体" w:hAnsi="新宋体" w:eastAsia="新宋体" w:cs="新宋体"/>
          <w:sz w:val="28"/>
          <w:szCs w:val="28"/>
        </w:rPr>
      </w:pPr>
      <w:r>
        <w:rPr>
          <w:rFonts w:hint="eastAsia" w:ascii="新宋体" w:hAnsi="新宋体" w:eastAsia="新宋体" w:cs="新宋体"/>
          <w:sz w:val="28"/>
          <w:szCs w:val="28"/>
        </w:rPr>
        <w:t>(8) 确认导引围油栏已经充好气；</w:t>
      </w:r>
    </w:p>
    <w:p>
      <w:pPr>
        <w:rPr>
          <w:rFonts w:hint="eastAsia" w:ascii="新宋体" w:hAnsi="新宋体" w:eastAsia="新宋体" w:cs="新宋体"/>
          <w:sz w:val="28"/>
          <w:szCs w:val="28"/>
        </w:rPr>
      </w:pPr>
      <w:r>
        <w:rPr>
          <w:rFonts w:hint="eastAsia" w:ascii="新宋体" w:hAnsi="新宋体" w:eastAsia="新宋体" w:cs="新宋体"/>
          <w:sz w:val="28"/>
          <w:szCs w:val="28"/>
        </w:rPr>
        <w:t>(9) 确认驾控台集中控制面板上的“自动/手动”开关转到手动位置；</w:t>
      </w:r>
    </w:p>
    <w:p>
      <w:pPr>
        <w:rPr>
          <w:rFonts w:hint="eastAsia" w:ascii="新宋体" w:hAnsi="新宋体" w:eastAsia="新宋体" w:cs="新宋体"/>
          <w:sz w:val="28"/>
          <w:szCs w:val="28"/>
        </w:rPr>
      </w:pPr>
      <w:r>
        <w:rPr>
          <w:rFonts w:hint="eastAsia" w:ascii="新宋体" w:hAnsi="新宋体" w:eastAsia="新宋体" w:cs="新宋体"/>
          <w:sz w:val="28"/>
          <w:szCs w:val="28"/>
        </w:rPr>
        <w:t>(10)确认收油机油位探测装置电缆已连接；</w:t>
      </w:r>
    </w:p>
    <w:p>
      <w:pPr>
        <w:rPr>
          <w:rFonts w:hint="eastAsia" w:ascii="新宋体" w:hAnsi="新宋体" w:eastAsia="新宋体" w:cs="新宋体"/>
          <w:sz w:val="28"/>
          <w:szCs w:val="28"/>
        </w:rPr>
      </w:pPr>
      <w:r>
        <w:rPr>
          <w:rFonts w:hint="eastAsia" w:ascii="新宋体" w:hAnsi="新宋体" w:eastAsia="新宋体" w:cs="新宋体"/>
          <w:sz w:val="28"/>
          <w:szCs w:val="28"/>
        </w:rPr>
        <w:t>(11)确认精分离罐放气球阀已关闭；</w:t>
      </w:r>
    </w:p>
    <w:p>
      <w:pPr>
        <w:rPr>
          <w:rFonts w:hint="eastAsia" w:ascii="新宋体" w:hAnsi="新宋体" w:eastAsia="新宋体" w:cs="新宋体"/>
          <w:sz w:val="28"/>
          <w:szCs w:val="28"/>
        </w:rPr>
      </w:pPr>
      <w:r>
        <w:rPr>
          <w:rFonts w:hint="eastAsia" w:ascii="新宋体" w:hAnsi="新宋体" w:eastAsia="新宋体" w:cs="新宋体"/>
          <w:sz w:val="28"/>
          <w:szCs w:val="28"/>
        </w:rPr>
        <w:t>(12)收油机输油泵第一次使用必须给输油泵出口腔加注引水；</w:t>
      </w:r>
    </w:p>
    <w:p>
      <w:pPr>
        <w:rPr>
          <w:rFonts w:hint="eastAsia" w:ascii="新宋体" w:hAnsi="新宋体" w:eastAsia="新宋体" w:cs="新宋体"/>
          <w:sz w:val="28"/>
          <w:szCs w:val="28"/>
        </w:rPr>
      </w:pPr>
      <w:r>
        <w:rPr>
          <w:rFonts w:hint="eastAsia" w:ascii="新宋体" w:hAnsi="新宋体" w:eastAsia="新宋体" w:cs="新宋体"/>
          <w:sz w:val="28"/>
          <w:szCs w:val="28"/>
        </w:rPr>
        <w:t>(13)检查确认精分离罐手孔盖已经关闭紧密。</w:t>
      </w:r>
    </w:p>
    <w:p>
      <w:pPr>
        <w:pStyle w:val="2"/>
        <w:numPr>
          <w:numId w:val="0"/>
        </w:numPr>
        <w:spacing w:before="0" w:after="0"/>
        <w:rPr>
          <w:rFonts w:hint="eastAsia" w:ascii="新宋体" w:hAnsi="新宋体" w:eastAsia="新宋体" w:cs="新宋体"/>
          <w:szCs w:val="28"/>
        </w:rPr>
      </w:pPr>
      <w:bookmarkStart w:id="2" w:name="_Toc293488376"/>
      <w:r>
        <w:rPr>
          <w:rStyle w:val="7"/>
          <w:rFonts w:hint="eastAsia" w:ascii="新宋体" w:hAnsi="新宋体" w:eastAsia="新宋体" w:cs="新宋体"/>
          <w:b w:val="0"/>
          <w:color w:val="000000"/>
          <w:kern w:val="2"/>
          <w:sz w:val="24"/>
          <w:szCs w:val="24"/>
        </w:rPr>
        <w:t xml:space="preserve">4.3.2.2.2 </w:t>
      </w:r>
      <w:r>
        <w:rPr>
          <w:rFonts w:hint="eastAsia" w:ascii="新宋体" w:hAnsi="新宋体" w:eastAsia="新宋体" w:cs="新宋体"/>
          <w:szCs w:val="28"/>
        </w:rPr>
        <w:t>收油机布放</w:t>
      </w:r>
      <w:bookmarkEnd w:id="2"/>
    </w:p>
    <w:p>
      <w:pPr>
        <w:rPr>
          <w:rFonts w:hint="eastAsia" w:ascii="新宋体" w:hAnsi="新宋体" w:eastAsia="新宋体" w:cs="新宋体"/>
          <w:sz w:val="28"/>
          <w:szCs w:val="28"/>
        </w:rPr>
      </w:pPr>
      <w:r>
        <w:rPr>
          <w:rFonts w:hint="eastAsia" w:ascii="新宋体" w:hAnsi="新宋体" w:eastAsia="新宋体" w:cs="新宋体"/>
          <w:sz w:val="28"/>
          <w:szCs w:val="28"/>
        </w:rPr>
        <w:t>(1) 检查和确认连接收油机和机座的紧固螺栓已拆卸；</w:t>
      </w:r>
    </w:p>
    <w:p>
      <w:pPr>
        <w:rPr>
          <w:rFonts w:hint="eastAsia" w:ascii="新宋体" w:hAnsi="新宋体" w:eastAsia="新宋体" w:cs="新宋体"/>
          <w:sz w:val="28"/>
          <w:szCs w:val="28"/>
        </w:rPr>
      </w:pPr>
      <w:r>
        <w:rPr>
          <w:rFonts w:hint="eastAsia" w:ascii="新宋体" w:hAnsi="新宋体" w:eastAsia="新宋体" w:cs="新宋体"/>
          <w:sz w:val="28"/>
          <w:szCs w:val="28"/>
        </w:rPr>
        <w:t>(2) 监视员已经分布装置周围，并确认了安全；</w:t>
      </w:r>
    </w:p>
    <w:p>
      <w:pPr>
        <w:rPr>
          <w:rFonts w:hint="eastAsia" w:ascii="新宋体" w:hAnsi="新宋体" w:eastAsia="新宋体" w:cs="新宋体"/>
          <w:sz w:val="28"/>
          <w:szCs w:val="28"/>
        </w:rPr>
      </w:pPr>
      <w:r>
        <w:rPr>
          <w:rFonts w:hint="eastAsia" w:ascii="新宋体" w:hAnsi="新宋体" w:eastAsia="新宋体" w:cs="新宋体"/>
          <w:sz w:val="28"/>
          <w:szCs w:val="28"/>
        </w:rPr>
        <w:t>(3) 指挥者下令启动动力站，按下“液压系统加载”按钮；</w:t>
      </w:r>
    </w:p>
    <w:p>
      <w:pPr>
        <w:rPr>
          <w:rFonts w:hint="eastAsia" w:ascii="新宋体" w:hAnsi="新宋体" w:eastAsia="新宋体" w:cs="新宋体"/>
          <w:sz w:val="28"/>
          <w:szCs w:val="28"/>
        </w:rPr>
      </w:pPr>
      <w:r>
        <w:rPr>
          <w:rFonts w:hint="eastAsia" w:ascii="新宋体" w:hAnsi="新宋体" w:eastAsia="新宋体" w:cs="新宋体"/>
          <w:sz w:val="28"/>
          <w:szCs w:val="28"/>
        </w:rPr>
        <w:t>(4) 吊车把收油机吊入水中，从吊车起吊钩卸下连接四根收油机起吊钢丝绳的梨形环，把梨形环固定在甲板上；</w:t>
      </w:r>
    </w:p>
    <w:p>
      <w:pPr>
        <w:rPr>
          <w:rFonts w:hint="eastAsia" w:ascii="新宋体" w:hAnsi="新宋体" w:eastAsia="新宋体" w:cs="新宋体"/>
          <w:sz w:val="28"/>
          <w:szCs w:val="28"/>
        </w:rPr>
      </w:pPr>
      <w:r>
        <w:rPr>
          <w:rFonts w:hint="eastAsia" w:ascii="新宋体" w:hAnsi="新宋体" w:eastAsia="新宋体" w:cs="新宋体"/>
          <w:sz w:val="28"/>
          <w:szCs w:val="28"/>
        </w:rPr>
        <w:t>(5) 操纵操控台上的手动换向阀手柄，将撑杆端部升到最高位置，旋转撑杆至舷外垂直位置，然后将撑杆端部降到离水面一定距离处；</w:t>
      </w:r>
    </w:p>
    <w:p>
      <w:pPr>
        <w:rPr>
          <w:rFonts w:hint="eastAsia" w:ascii="新宋体" w:hAnsi="新宋体" w:eastAsia="新宋体" w:cs="新宋体"/>
          <w:sz w:val="28"/>
          <w:szCs w:val="28"/>
        </w:rPr>
      </w:pPr>
      <w:r>
        <w:rPr>
          <w:rFonts w:hint="eastAsia" w:ascii="新宋体" w:hAnsi="新宋体" w:eastAsia="新宋体" w:cs="新宋体"/>
          <w:sz w:val="28"/>
          <w:szCs w:val="28"/>
        </w:rPr>
        <w:t>(6) 将两根20m撑杆固定绳另一端固定到舷侧撑杆的两侧；</w:t>
      </w:r>
    </w:p>
    <w:p>
      <w:pPr>
        <w:rPr>
          <w:rFonts w:hint="eastAsia" w:ascii="新宋体" w:hAnsi="新宋体" w:eastAsia="新宋体" w:cs="新宋体"/>
          <w:sz w:val="28"/>
          <w:szCs w:val="28"/>
        </w:rPr>
      </w:pPr>
      <w:r>
        <w:rPr>
          <w:rFonts w:hint="eastAsia" w:ascii="新宋体" w:hAnsi="新宋体" w:eastAsia="新宋体" w:cs="新宋体"/>
          <w:sz w:val="28"/>
          <w:szCs w:val="28"/>
        </w:rPr>
        <w:t>(7) 调节好收油机的位置后，拉紧35m纤维绳使内围油栏靠近船体并固定，同时拉紧外围油栏35m纤维绳并固定</w:t>
      </w:r>
    </w:p>
    <w:p>
      <w:pPr>
        <w:pStyle w:val="3"/>
        <w:numPr>
          <w:ilvl w:val="0"/>
          <w:numId w:val="0"/>
        </w:numPr>
        <w:ind w:left="1050" w:hanging="1050"/>
        <w:rPr>
          <w:rFonts w:hint="eastAsia" w:ascii="新宋体" w:hAnsi="新宋体" w:eastAsia="新宋体" w:cs="新宋体"/>
          <w:i w:val="0"/>
          <w:sz w:val="28"/>
          <w:szCs w:val="28"/>
        </w:rPr>
      </w:pPr>
      <w:bookmarkStart w:id="3" w:name="_Toc293488377"/>
      <w:r>
        <w:rPr>
          <w:rStyle w:val="7"/>
          <w:rFonts w:hint="eastAsia" w:ascii="新宋体" w:hAnsi="新宋体" w:eastAsia="新宋体" w:cs="新宋体"/>
          <w:i w:val="0"/>
          <w:color w:val="000000"/>
          <w:kern w:val="2"/>
        </w:rPr>
        <w:t xml:space="preserve">4.3.2.2.3 </w:t>
      </w:r>
      <w:r>
        <w:rPr>
          <w:rFonts w:hint="eastAsia" w:ascii="新宋体" w:hAnsi="新宋体" w:eastAsia="新宋体" w:cs="新宋体"/>
          <w:i w:val="0"/>
          <w:sz w:val="28"/>
          <w:szCs w:val="28"/>
        </w:rPr>
        <w:t>浮油回收作业</w:t>
      </w:r>
      <w:bookmarkEnd w:id="3"/>
    </w:p>
    <w:p>
      <w:pPr>
        <w:rPr>
          <w:rFonts w:hint="eastAsia" w:ascii="新宋体" w:hAnsi="新宋体" w:eastAsia="新宋体" w:cs="新宋体"/>
          <w:sz w:val="28"/>
          <w:szCs w:val="28"/>
        </w:rPr>
      </w:pPr>
      <w:r>
        <w:rPr>
          <w:rFonts w:hint="eastAsia" w:ascii="新宋体" w:hAnsi="新宋体" w:eastAsia="新宋体" w:cs="新宋体"/>
          <w:sz w:val="28"/>
          <w:szCs w:val="28"/>
        </w:rPr>
        <w:t>(1) 操纵操控台上的浮动胶带手动换向阀和调速阀手柄，驱动收油机浮动胶带并调整速度；</w:t>
      </w:r>
    </w:p>
    <w:p>
      <w:pPr>
        <w:rPr>
          <w:rFonts w:hint="eastAsia" w:ascii="新宋体" w:hAnsi="新宋体" w:eastAsia="新宋体" w:cs="新宋体"/>
          <w:sz w:val="28"/>
          <w:szCs w:val="28"/>
        </w:rPr>
      </w:pPr>
      <w:r>
        <w:rPr>
          <w:rFonts w:hint="eastAsia" w:ascii="新宋体" w:hAnsi="新宋体" w:eastAsia="新宋体" w:cs="新宋体"/>
          <w:sz w:val="28"/>
          <w:szCs w:val="28"/>
        </w:rPr>
        <w:t>(2) 将驾控台收油机集中控制面板上的 “手动/自动”转换开关到自动位置，“探测仪开/关”在开的位置时 ，输油泵启动。运转一段时间收油机精分离罐内的水位达到油水分离液位时，输油泵自动停止；</w:t>
      </w:r>
    </w:p>
    <w:p>
      <w:pPr>
        <w:rPr>
          <w:rFonts w:hint="eastAsia" w:ascii="新宋体" w:hAnsi="新宋体" w:eastAsia="新宋体" w:cs="新宋体"/>
          <w:sz w:val="28"/>
          <w:szCs w:val="28"/>
        </w:rPr>
      </w:pPr>
      <w:r>
        <w:rPr>
          <w:rFonts w:hint="eastAsia" w:ascii="新宋体" w:hAnsi="新宋体" w:eastAsia="新宋体" w:cs="新宋体"/>
          <w:sz w:val="28"/>
          <w:szCs w:val="28"/>
        </w:rPr>
        <w:t>(3) 自动收油作业</w:t>
      </w:r>
    </w:p>
    <w:p>
      <w:pPr>
        <w:ind w:firstLine="560" w:firstLineChars="200"/>
        <w:rPr>
          <w:rFonts w:hint="eastAsia" w:ascii="新宋体" w:hAnsi="新宋体" w:eastAsia="新宋体" w:cs="新宋体"/>
          <w:sz w:val="28"/>
          <w:szCs w:val="28"/>
        </w:rPr>
      </w:pPr>
      <w:r>
        <w:rPr>
          <w:rFonts w:hint="eastAsia" w:ascii="新宋体" w:hAnsi="新宋体" w:eastAsia="新宋体" w:cs="新宋体"/>
          <w:sz w:val="28"/>
          <w:szCs w:val="28"/>
        </w:rPr>
        <w:t>由下行带源源不断输入的油水流入精分离罐后油水开始分离，油上浮不断地积累加厚，水从下面流走，当油层厚度积累至一定厚度时，绿色油指示灯亮。输油泵自动启动开始收油，当油水界面接触水，经过延时后发出信号（红色水指示灯亮），同时输油泵自动停止。不断循环自动收油。</w:t>
      </w:r>
    </w:p>
    <w:p>
      <w:pPr>
        <w:rPr>
          <w:rFonts w:hint="eastAsia" w:ascii="新宋体" w:hAnsi="新宋体" w:eastAsia="新宋体" w:cs="新宋体"/>
          <w:sz w:val="28"/>
          <w:szCs w:val="28"/>
        </w:rPr>
      </w:pPr>
      <w:r>
        <w:rPr>
          <w:rFonts w:hint="eastAsia" w:ascii="新宋体" w:hAnsi="新宋体" w:eastAsia="新宋体" w:cs="新宋体"/>
          <w:sz w:val="28"/>
          <w:szCs w:val="28"/>
        </w:rPr>
        <w:t>(4) 手动收油作业</w:t>
      </w:r>
    </w:p>
    <w:p>
      <w:pPr>
        <w:rPr>
          <w:rFonts w:hint="eastAsia" w:ascii="新宋体" w:hAnsi="新宋体" w:eastAsia="新宋体" w:cs="新宋体"/>
          <w:sz w:val="28"/>
          <w:szCs w:val="28"/>
        </w:rPr>
      </w:pPr>
      <w:r>
        <w:rPr>
          <w:rFonts w:hint="eastAsia" w:ascii="新宋体" w:hAnsi="新宋体" w:eastAsia="新宋体" w:cs="新宋体"/>
          <w:sz w:val="28"/>
          <w:szCs w:val="28"/>
        </w:rPr>
        <w:t xml:space="preserve">   将驾控台收油机集中控制面板上的 “手动/自动”转换开关到手动位置，“探测仪开/关”在开的位置时，根据收油机集中控制面板上油、水指示灯，手动按集中控制面板上的“输油泵启动”按钮或“输油泵停止”按钮，手动控制输油泵的启动或停止。</w:t>
      </w:r>
    </w:p>
    <w:p>
      <w:pPr>
        <w:rPr>
          <w:rFonts w:hint="eastAsia" w:ascii="新宋体" w:hAnsi="新宋体" w:eastAsia="新宋体" w:cs="新宋体"/>
          <w:sz w:val="28"/>
          <w:szCs w:val="28"/>
        </w:rPr>
      </w:pPr>
      <w:r>
        <w:rPr>
          <w:rFonts w:hint="eastAsia" w:ascii="新宋体" w:hAnsi="新宋体" w:eastAsia="新宋体" w:cs="新宋体"/>
          <w:sz w:val="28"/>
          <w:szCs w:val="28"/>
        </w:rPr>
        <w:t>(5) 垃圾回收</w:t>
      </w:r>
    </w:p>
    <w:p>
      <w:pPr>
        <w:ind w:firstLine="560" w:firstLineChars="200"/>
        <w:rPr>
          <w:rFonts w:hint="eastAsia" w:ascii="新宋体" w:hAnsi="新宋体" w:eastAsia="新宋体" w:cs="新宋体"/>
          <w:sz w:val="28"/>
          <w:szCs w:val="28"/>
        </w:rPr>
      </w:pPr>
      <w:r>
        <w:rPr>
          <w:rFonts w:hint="eastAsia" w:ascii="新宋体" w:hAnsi="新宋体" w:eastAsia="新宋体" w:cs="新宋体"/>
          <w:sz w:val="28"/>
          <w:szCs w:val="28"/>
        </w:rPr>
        <w:t>收油机前端装有垃圾回收翻转装置，防止垃圾进入收油机精分离罐，当收油机工作时，站在操控台前的工作人员观察垃圾斗，如垃圾满了操纵操控台上的翻转换向阀手柄，垃圾斗向上翻转，把垃圾倒入收油机上的垃圾筐内，然后再操纵手柄，垃圾斗向下翻转回到工作位置。</w:t>
      </w:r>
    </w:p>
    <w:p>
      <w:pPr>
        <w:pStyle w:val="3"/>
        <w:numPr>
          <w:ilvl w:val="0"/>
          <w:numId w:val="0"/>
        </w:numPr>
        <w:ind w:left="1050" w:hanging="1050"/>
        <w:rPr>
          <w:rFonts w:hint="eastAsia" w:ascii="新宋体" w:hAnsi="新宋体" w:eastAsia="新宋体" w:cs="新宋体"/>
          <w:i w:val="0"/>
          <w:sz w:val="28"/>
          <w:szCs w:val="28"/>
        </w:rPr>
      </w:pPr>
      <w:bookmarkStart w:id="4" w:name="_Toc293488378"/>
      <w:r>
        <w:rPr>
          <w:rStyle w:val="7"/>
          <w:rFonts w:hint="eastAsia" w:ascii="新宋体" w:hAnsi="新宋体" w:eastAsia="新宋体" w:cs="新宋体"/>
          <w:i w:val="0"/>
          <w:color w:val="000000"/>
          <w:kern w:val="2"/>
        </w:rPr>
        <w:t xml:space="preserve">4.3.2.2.4 </w:t>
      </w:r>
      <w:r>
        <w:rPr>
          <w:rFonts w:hint="eastAsia" w:ascii="新宋体" w:hAnsi="新宋体" w:eastAsia="新宋体" w:cs="新宋体"/>
          <w:i w:val="0"/>
          <w:sz w:val="28"/>
          <w:szCs w:val="28"/>
        </w:rPr>
        <w:t>作业结束</w:t>
      </w:r>
      <w:bookmarkEnd w:id="4"/>
    </w:p>
    <w:p>
      <w:pPr>
        <w:rPr>
          <w:rFonts w:hint="eastAsia" w:ascii="新宋体" w:hAnsi="新宋体" w:eastAsia="新宋体" w:cs="新宋体"/>
          <w:sz w:val="28"/>
          <w:szCs w:val="28"/>
        </w:rPr>
      </w:pPr>
      <w:r>
        <w:rPr>
          <w:rFonts w:hint="eastAsia" w:ascii="新宋体" w:hAnsi="新宋体" w:eastAsia="新宋体" w:cs="新宋体"/>
          <w:szCs w:val="21"/>
        </w:rPr>
        <w:t>4.3.2.2.4.1</w:t>
      </w:r>
      <w:r>
        <w:rPr>
          <w:rFonts w:hint="eastAsia" w:ascii="新宋体" w:hAnsi="新宋体" w:eastAsia="新宋体" w:cs="新宋体"/>
          <w:sz w:val="28"/>
          <w:szCs w:val="28"/>
        </w:rPr>
        <w:t>收油机停止驱动</w:t>
      </w:r>
    </w:p>
    <w:p>
      <w:pPr>
        <w:rPr>
          <w:rFonts w:hint="eastAsia" w:ascii="新宋体" w:hAnsi="新宋体" w:eastAsia="新宋体" w:cs="新宋体"/>
          <w:sz w:val="28"/>
          <w:szCs w:val="28"/>
        </w:rPr>
      </w:pPr>
      <w:r>
        <w:rPr>
          <w:rFonts w:hint="eastAsia" w:ascii="新宋体" w:hAnsi="新宋体" w:eastAsia="新宋体" w:cs="新宋体"/>
          <w:sz w:val="28"/>
          <w:szCs w:val="28"/>
        </w:rPr>
        <w:t>(1)浮动胶带的手动换向阀（操控台）操作手柄放在“停止”的位置；</w:t>
      </w:r>
    </w:p>
    <w:p>
      <w:pPr>
        <w:rPr>
          <w:rFonts w:hint="eastAsia" w:ascii="新宋体" w:hAnsi="新宋体" w:eastAsia="新宋体" w:cs="新宋体"/>
          <w:sz w:val="28"/>
          <w:szCs w:val="28"/>
        </w:rPr>
      </w:pPr>
      <w:r>
        <w:rPr>
          <w:rFonts w:hint="eastAsia" w:ascii="新宋体" w:hAnsi="新宋体" w:eastAsia="新宋体" w:cs="新宋体"/>
          <w:sz w:val="28"/>
          <w:szCs w:val="28"/>
        </w:rPr>
        <w:t>(2) 按</w:t>
      </w:r>
      <w:r>
        <w:rPr>
          <w:rFonts w:hint="eastAsia" w:ascii="新宋体" w:hAnsi="新宋体" w:eastAsia="新宋体" w:cs="新宋体"/>
          <w:color w:val="000000"/>
          <w:sz w:val="28"/>
          <w:szCs w:val="28"/>
        </w:rPr>
        <w:t>驾控台收油机集中控制面板上的</w:t>
      </w:r>
      <w:r>
        <w:rPr>
          <w:rFonts w:hint="eastAsia" w:ascii="新宋体" w:hAnsi="新宋体" w:eastAsia="新宋体" w:cs="新宋体"/>
          <w:sz w:val="28"/>
          <w:szCs w:val="28"/>
        </w:rPr>
        <w:t>“输油泵停止”按钮，输油泵停止。</w:t>
      </w:r>
    </w:p>
    <w:p>
      <w:pPr>
        <w:rPr>
          <w:rFonts w:hint="eastAsia" w:ascii="新宋体" w:hAnsi="新宋体" w:eastAsia="新宋体" w:cs="新宋体"/>
          <w:sz w:val="28"/>
          <w:szCs w:val="28"/>
        </w:rPr>
      </w:pPr>
      <w:r>
        <w:rPr>
          <w:rFonts w:hint="eastAsia" w:ascii="新宋体" w:hAnsi="新宋体" w:eastAsia="新宋体" w:cs="新宋体"/>
          <w:szCs w:val="21"/>
        </w:rPr>
        <w:t>4.2.2.2.4.2</w:t>
      </w:r>
      <w:r>
        <w:rPr>
          <w:rFonts w:hint="eastAsia" w:ascii="新宋体" w:hAnsi="新宋体" w:eastAsia="新宋体" w:cs="新宋体"/>
          <w:sz w:val="28"/>
          <w:szCs w:val="28"/>
        </w:rPr>
        <w:t xml:space="preserve"> 降低精分离罐的水位</w:t>
      </w:r>
    </w:p>
    <w:p>
      <w:pPr>
        <w:ind w:firstLine="560" w:firstLineChars="200"/>
        <w:rPr>
          <w:rFonts w:hint="eastAsia" w:ascii="新宋体" w:hAnsi="新宋体" w:eastAsia="新宋体" w:cs="新宋体"/>
          <w:sz w:val="28"/>
          <w:szCs w:val="28"/>
        </w:rPr>
      </w:pPr>
      <w:r>
        <w:rPr>
          <w:rFonts w:hint="eastAsia" w:ascii="新宋体" w:hAnsi="新宋体" w:eastAsia="新宋体" w:cs="新宋体"/>
          <w:sz w:val="28"/>
          <w:szCs w:val="28"/>
        </w:rPr>
        <w:t>打开过滤罐排气软管端部的排气阀，降低精分离罐内的水位。</w:t>
      </w:r>
    </w:p>
    <w:p>
      <w:pPr>
        <w:rPr>
          <w:rFonts w:hint="eastAsia" w:ascii="新宋体" w:hAnsi="新宋体" w:eastAsia="新宋体" w:cs="新宋体"/>
          <w:sz w:val="28"/>
          <w:szCs w:val="28"/>
        </w:rPr>
      </w:pPr>
      <w:r>
        <w:rPr>
          <w:rFonts w:hint="eastAsia" w:ascii="新宋体" w:hAnsi="新宋体" w:eastAsia="新宋体" w:cs="新宋体"/>
          <w:szCs w:val="21"/>
        </w:rPr>
        <w:t>4.3.2.2.4.3</w:t>
      </w:r>
      <w:r>
        <w:rPr>
          <w:rFonts w:hint="eastAsia" w:ascii="新宋体" w:hAnsi="新宋体" w:eastAsia="新宋体" w:cs="新宋体"/>
          <w:sz w:val="28"/>
          <w:szCs w:val="28"/>
        </w:rPr>
        <w:t xml:space="preserve"> 起吊收油机</w:t>
      </w:r>
    </w:p>
    <w:p>
      <w:pPr>
        <w:rPr>
          <w:rFonts w:hint="eastAsia" w:ascii="新宋体" w:hAnsi="新宋体" w:eastAsia="新宋体" w:cs="新宋体"/>
          <w:sz w:val="28"/>
          <w:szCs w:val="28"/>
        </w:rPr>
      </w:pPr>
      <w:r>
        <w:rPr>
          <w:rFonts w:hint="eastAsia" w:ascii="新宋体" w:hAnsi="新宋体" w:eastAsia="新宋体" w:cs="新宋体"/>
          <w:sz w:val="28"/>
          <w:szCs w:val="28"/>
        </w:rPr>
        <w:t>(1) 将收油机往前拉一段距离，吊车吊钩旋转到收油机吊钩的上方并把连接四根收油机起吊钢丝绳的梨形环装在吊钩上；</w:t>
      </w:r>
    </w:p>
    <w:p>
      <w:pPr>
        <w:rPr>
          <w:rFonts w:hint="eastAsia" w:ascii="新宋体" w:hAnsi="新宋体" w:eastAsia="新宋体" w:cs="新宋体"/>
          <w:sz w:val="28"/>
          <w:szCs w:val="28"/>
        </w:rPr>
      </w:pPr>
      <w:r>
        <w:rPr>
          <w:rFonts w:hint="eastAsia" w:ascii="新宋体" w:hAnsi="新宋体" w:eastAsia="新宋体" w:cs="新宋体"/>
          <w:sz w:val="28"/>
          <w:szCs w:val="28"/>
        </w:rPr>
        <w:t>(2) 松开四根围油栏和撑杆牵引绳与船的连接，并将围油栏拉到收油机的前端部固定，并将围油栏起吊绳装在吊钩上；</w:t>
      </w:r>
    </w:p>
    <w:p>
      <w:pPr>
        <w:rPr>
          <w:rFonts w:hint="eastAsia" w:ascii="新宋体" w:hAnsi="新宋体" w:eastAsia="新宋体" w:cs="新宋体"/>
          <w:sz w:val="28"/>
          <w:szCs w:val="28"/>
        </w:rPr>
      </w:pPr>
      <w:r>
        <w:rPr>
          <w:rFonts w:hint="eastAsia" w:ascii="新宋体" w:hAnsi="新宋体" w:eastAsia="新宋体" w:cs="新宋体"/>
          <w:sz w:val="28"/>
          <w:szCs w:val="28"/>
        </w:rPr>
        <w:t>(3) 吊车将收油机、围油栏吊到甲板上，如风浪较大应固定收油机；</w:t>
      </w:r>
    </w:p>
    <w:p>
      <w:pPr>
        <w:rPr>
          <w:rFonts w:hint="eastAsia" w:ascii="新宋体" w:hAnsi="新宋体" w:eastAsia="新宋体" w:cs="新宋体"/>
          <w:sz w:val="28"/>
          <w:szCs w:val="28"/>
        </w:rPr>
      </w:pPr>
      <w:r>
        <w:rPr>
          <w:rFonts w:hint="eastAsia" w:ascii="新宋体" w:hAnsi="新宋体" w:eastAsia="新宋体" w:cs="新宋体"/>
          <w:sz w:val="28"/>
          <w:szCs w:val="28"/>
        </w:rPr>
        <w:t>(4) 将撑杆端部升到最高位置，旋转撑杆至舷边水平位置；</w:t>
      </w:r>
    </w:p>
    <w:p>
      <w:pPr>
        <w:rPr>
          <w:rFonts w:hint="eastAsia" w:ascii="新宋体" w:hAnsi="新宋体" w:eastAsia="新宋体" w:cs="新宋体"/>
          <w:sz w:val="28"/>
          <w:szCs w:val="28"/>
        </w:rPr>
      </w:pPr>
      <w:r>
        <w:rPr>
          <w:rFonts w:hint="eastAsia" w:ascii="新宋体" w:hAnsi="新宋体" w:eastAsia="新宋体" w:cs="新宋体"/>
          <w:sz w:val="28"/>
          <w:szCs w:val="28"/>
        </w:rPr>
        <w:t>(5) 将收油机的“自动/手动”开关转到手动位置，“探测仪开/关”到关的位置。操控台上的手动换向阀手柄全部放在中间停止位置；</w:t>
      </w:r>
    </w:p>
    <w:p>
      <w:pPr>
        <w:rPr>
          <w:rFonts w:hint="eastAsia" w:ascii="新宋体" w:hAnsi="新宋体" w:eastAsia="新宋体" w:cs="新宋体"/>
          <w:sz w:val="28"/>
          <w:szCs w:val="28"/>
        </w:rPr>
      </w:pPr>
      <w:r>
        <w:rPr>
          <w:rFonts w:hint="eastAsia" w:ascii="新宋体" w:hAnsi="新宋体" w:eastAsia="新宋体" w:cs="新宋体"/>
          <w:sz w:val="28"/>
          <w:szCs w:val="28"/>
        </w:rPr>
        <w:t>(6) 操作液压充吸气机将导引围油栏放气；</w:t>
      </w:r>
    </w:p>
    <w:p>
      <w:pPr>
        <w:rPr>
          <w:rFonts w:hint="eastAsia" w:ascii="新宋体" w:hAnsi="新宋体" w:eastAsia="新宋体" w:cs="新宋体"/>
          <w:sz w:val="28"/>
          <w:szCs w:val="28"/>
        </w:rPr>
      </w:pPr>
      <w:r>
        <w:rPr>
          <w:rFonts w:hint="eastAsia" w:ascii="新宋体" w:hAnsi="新宋体" w:eastAsia="新宋体" w:cs="新宋体"/>
          <w:sz w:val="28"/>
          <w:szCs w:val="28"/>
        </w:rPr>
        <w:t>(7) 按“液压系统卸荷”按钮；</w:t>
      </w:r>
    </w:p>
    <w:p>
      <w:pPr>
        <w:rPr>
          <w:rFonts w:hint="eastAsia" w:ascii="新宋体" w:hAnsi="新宋体" w:eastAsia="新宋体" w:cs="新宋体"/>
          <w:sz w:val="28"/>
          <w:szCs w:val="28"/>
        </w:rPr>
      </w:pPr>
      <w:r>
        <w:rPr>
          <w:rFonts w:hint="eastAsia" w:ascii="新宋体" w:hAnsi="新宋体" w:eastAsia="新宋体" w:cs="新宋体"/>
          <w:sz w:val="28"/>
          <w:szCs w:val="28"/>
        </w:rPr>
        <w:t>(8) 解开围油栏、各液压胶管和输油管，并存放。</w:t>
      </w:r>
    </w:p>
    <w:p>
      <w:pPr>
        <w:rPr>
          <w:rFonts w:hint="eastAsia" w:ascii="新宋体" w:hAnsi="新宋体" w:eastAsia="新宋体" w:cs="新宋体"/>
          <w:sz w:val="28"/>
          <w:szCs w:val="28"/>
        </w:rPr>
      </w:pPr>
      <w:r>
        <w:rPr>
          <w:rFonts w:hint="eastAsia" w:ascii="新宋体" w:hAnsi="新宋体" w:eastAsia="新宋体" w:cs="新宋体"/>
          <w:szCs w:val="21"/>
        </w:rPr>
        <w:t>4.3.2.2.4.4</w:t>
      </w:r>
      <w:r>
        <w:rPr>
          <w:rFonts w:hint="eastAsia" w:ascii="新宋体" w:hAnsi="新宋体" w:eastAsia="新宋体" w:cs="新宋体"/>
          <w:sz w:val="28"/>
          <w:szCs w:val="28"/>
        </w:rPr>
        <w:t xml:space="preserve"> 收油机的清扫，安全的确认。</w:t>
      </w:r>
    </w:p>
    <w:p>
      <w:pPr>
        <w:rPr>
          <w:rFonts w:hint="eastAsia" w:ascii="新宋体" w:hAnsi="新宋体" w:eastAsia="新宋体" w:cs="新宋体"/>
          <w:sz w:val="28"/>
          <w:szCs w:val="28"/>
        </w:rPr>
      </w:pPr>
      <w:r>
        <w:rPr>
          <w:rFonts w:hint="eastAsia" w:ascii="新宋体" w:hAnsi="新宋体" w:eastAsia="新宋体" w:cs="新宋体"/>
          <w:sz w:val="28"/>
          <w:szCs w:val="28"/>
        </w:rPr>
        <w:t>(1) 把收油机垃圾筐内的垃圾取出，用油吸附材料等粘在装置侧壁、皮带表面、油检测器检出部等部位的油擦干净后用海水洗净；</w:t>
      </w:r>
    </w:p>
    <w:p>
      <w:pPr>
        <w:rPr>
          <w:rFonts w:hint="eastAsia" w:ascii="新宋体" w:hAnsi="新宋体" w:eastAsia="新宋体" w:cs="新宋体"/>
          <w:sz w:val="28"/>
          <w:szCs w:val="28"/>
        </w:rPr>
      </w:pPr>
      <w:r>
        <w:rPr>
          <w:rFonts w:hint="eastAsia" w:ascii="新宋体" w:hAnsi="新宋体" w:eastAsia="新宋体" w:cs="新宋体"/>
          <w:sz w:val="28"/>
          <w:szCs w:val="28"/>
        </w:rPr>
        <w:t>(2) 进行装置自身及周围的油气检测，确认安全。</w:t>
      </w:r>
    </w:p>
    <w:p>
      <w:pPr>
        <w:pStyle w:val="3"/>
        <w:numPr>
          <w:ilvl w:val="0"/>
          <w:numId w:val="0"/>
        </w:numPr>
        <w:ind w:left="1050" w:hanging="1050"/>
        <w:rPr>
          <w:rFonts w:hint="eastAsia" w:ascii="新宋体" w:hAnsi="新宋体" w:eastAsia="新宋体" w:cs="新宋体"/>
          <w:i w:val="0"/>
          <w:sz w:val="28"/>
          <w:szCs w:val="28"/>
        </w:rPr>
      </w:pPr>
      <w:bookmarkStart w:id="5" w:name="_Toc293488379"/>
      <w:r>
        <w:rPr>
          <w:rStyle w:val="7"/>
          <w:rFonts w:hint="eastAsia" w:ascii="新宋体" w:hAnsi="新宋体" w:eastAsia="新宋体" w:cs="新宋体"/>
          <w:i w:val="0"/>
          <w:color w:val="000000"/>
          <w:kern w:val="2"/>
        </w:rPr>
        <w:t>4.3.2.2.5</w:t>
      </w:r>
      <w:r>
        <w:rPr>
          <w:rFonts w:hint="eastAsia" w:ascii="新宋体" w:hAnsi="新宋体" w:eastAsia="新宋体" w:cs="新宋体"/>
          <w:i w:val="0"/>
          <w:sz w:val="28"/>
          <w:szCs w:val="28"/>
        </w:rPr>
        <w:t>动力停止</w:t>
      </w:r>
      <w:bookmarkEnd w:id="5"/>
    </w:p>
    <w:p>
      <w:pPr>
        <w:rPr>
          <w:rFonts w:hint="eastAsia" w:ascii="新宋体" w:hAnsi="新宋体" w:eastAsia="新宋体" w:cs="新宋体"/>
          <w:sz w:val="28"/>
          <w:szCs w:val="28"/>
        </w:rPr>
      </w:pPr>
      <w:r>
        <w:rPr>
          <w:rFonts w:hint="eastAsia" w:ascii="新宋体" w:hAnsi="新宋体" w:eastAsia="新宋体" w:cs="新宋体"/>
          <w:sz w:val="28"/>
          <w:szCs w:val="28"/>
        </w:rPr>
        <w:t>(1) 停止船舶提供的冷却水；</w:t>
      </w:r>
    </w:p>
    <w:p>
      <w:pPr>
        <w:rPr>
          <w:rFonts w:hint="eastAsia" w:ascii="新宋体" w:hAnsi="新宋体" w:eastAsia="新宋体" w:cs="新宋体"/>
          <w:sz w:val="28"/>
          <w:szCs w:val="28"/>
        </w:rPr>
      </w:pPr>
      <w:r>
        <w:rPr>
          <w:rFonts w:hint="eastAsia" w:ascii="新宋体" w:hAnsi="新宋体" w:eastAsia="新宋体" w:cs="新宋体"/>
          <w:sz w:val="28"/>
          <w:szCs w:val="28"/>
        </w:rPr>
        <w:t>(2) 按“电机停止”按钮，动力站停止工作；</w:t>
      </w:r>
    </w:p>
    <w:p>
      <w:pPr>
        <w:rPr>
          <w:rFonts w:hint="eastAsia" w:ascii="新宋体" w:hAnsi="新宋体" w:eastAsia="新宋体" w:cs="新宋体"/>
          <w:sz w:val="28"/>
          <w:szCs w:val="28"/>
        </w:rPr>
      </w:pPr>
      <w:r>
        <w:rPr>
          <w:rFonts w:hint="eastAsia" w:ascii="新宋体" w:hAnsi="新宋体" w:eastAsia="新宋体" w:cs="新宋体"/>
          <w:sz w:val="28"/>
          <w:szCs w:val="28"/>
        </w:rPr>
        <w:t>(3) 切断收油机控制柜电源。</w:t>
      </w:r>
    </w:p>
    <w:p>
      <w:pPr>
        <w:rPr>
          <w:rFonts w:hint="eastAsia" w:ascii="新宋体" w:hAnsi="新宋体" w:eastAsia="新宋体" w:cs="新宋体"/>
          <w:b/>
          <w:sz w:val="24"/>
        </w:rPr>
      </w:pPr>
      <w:r>
        <w:rPr>
          <w:rFonts w:hint="eastAsia" w:ascii="新宋体" w:hAnsi="新宋体" w:eastAsia="新宋体" w:cs="新宋体"/>
          <w:b/>
          <w:sz w:val="24"/>
        </w:rPr>
        <w:t>特别注意：清洗撇油器时，应将船上的泄水口堵住，防止清洗的污水流入海里。清洗污水存在污油水舱，一并交污油水处理厂作无害化处理。</w:t>
      </w:r>
    </w:p>
    <w:p>
      <w:pPr>
        <w:rPr>
          <w:rFonts w:hint="eastAsia" w:ascii="新宋体" w:hAnsi="新宋体" w:eastAsia="新宋体" w:cs="新宋体"/>
          <w:sz w:val="28"/>
          <w:szCs w:val="28"/>
        </w:rPr>
      </w:pPr>
      <w:r>
        <w:rPr>
          <w:rStyle w:val="7"/>
          <w:rFonts w:hint="eastAsia" w:ascii="新宋体" w:hAnsi="新宋体" w:eastAsia="新宋体" w:cs="新宋体"/>
          <w:b/>
          <w:color w:val="000000"/>
          <w:sz w:val="28"/>
        </w:rPr>
        <w:t>4.3.3</w:t>
      </w:r>
      <w:r>
        <w:rPr>
          <w:rFonts w:hint="eastAsia" w:ascii="新宋体" w:hAnsi="新宋体" w:eastAsia="新宋体" w:cs="新宋体"/>
          <w:color w:val="000000"/>
          <w:sz w:val="28"/>
          <w:szCs w:val="28"/>
        </w:rPr>
        <w:t>吸油拖栏围控和收油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4.3.3.1吸油拖栏的特点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吸油拖栏是采用吸油毡制成的用来吸附水面浮油的吸油器材，吸油拖栏适用于吸附中低粘度的溢油；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吸油拖栏兼有围控回收溢油的能力，便于投放和回收。</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4.3.3.2吸油拖栏的布放</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4.3.3.2.1吸油拖栏的布放可采用从溢油应急处置船或辅助船舶上人工投放，小艇拖带的方式进行布放（如图14）</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4.3.4吸油毡收油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4.3.4.1吸油毡的特点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吸油毡是人造化学纤维毡，是一种良好的清油材料，其比重小，能漂浮在水面上；</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吸油毡具有多间隙亲油，具有强烈的吸油性能，吸水能力差；</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耐酸、耐碱、耐腐蚀，宜采用燃烧处理；</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保油性能好，能反复使用；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PP-1型号的吸油毡适合吸附轻质油和比重比较轻的化工液体；</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  PP-2型号的吸油毡适合吸附粘度比较高的油品。</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4.3.4.2吸油毡的投放</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投放吸油毡时，应将吸油毡一张一张掀开，一张一张平放在有较厚油层的水面；</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投放后，操作人员应用捞网将吸油毡在油层上反复翻动，使吸油毡能沾上更多的油后，才打捞上船；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沾满油的吸油毡捞上船后，应立即装入垃圾袋，为防止垃圾袋泄漏，垃圾袋下面应用吸油毡垫上；</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当垃圾袋装满后，应将垃圾袋口扎好，防止沾满油的吸油毡掉出，造成二次污染。</w:t>
      </w:r>
    </w:p>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drawing>
          <wp:inline distT="0" distB="0" distL="114300" distR="114300">
            <wp:extent cx="5888990" cy="3743325"/>
            <wp:effectExtent l="0" t="0" r="16510" b="9525"/>
            <wp:docPr id="38" name="图片 18" descr="未标题-2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descr="未标题-2 拷贝"/>
                    <pic:cNvPicPr>
                      <a:picLocks noChangeAspect="1"/>
                    </pic:cNvPicPr>
                  </pic:nvPicPr>
                  <pic:blipFill>
                    <a:blip r:embed="rId30"/>
                    <a:stretch>
                      <a:fillRect/>
                    </a:stretch>
                  </pic:blipFill>
                  <pic:spPr>
                    <a:xfrm>
                      <a:off x="0" y="0"/>
                      <a:ext cx="5888990" cy="3743325"/>
                    </a:xfrm>
                    <a:prstGeom prst="rect">
                      <a:avLst/>
                    </a:prstGeom>
                    <a:noFill/>
                    <a:ln w="9525">
                      <a:noFill/>
                    </a:ln>
                  </pic:spPr>
                </pic:pic>
              </a:graphicData>
            </a:graphic>
          </wp:inline>
        </w:drawing>
      </w:r>
    </w:p>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Cs w:val="21"/>
        </w:rPr>
        <w:t>图14 吸油拖栏的布放</w:t>
      </w:r>
    </w:p>
    <w:p>
      <w:pPr>
        <w:jc w:val="center"/>
        <w:rPr>
          <w:rFonts w:hint="eastAsia" w:ascii="新宋体" w:hAnsi="新宋体" w:eastAsia="新宋体" w:cs="新宋体"/>
          <w:color w:val="000000"/>
          <w:szCs w:val="21"/>
        </w:rPr>
      </w:pPr>
    </w:p>
    <w:p>
      <w:pPr>
        <w:rPr>
          <w:rFonts w:hint="eastAsia" w:ascii="新宋体" w:hAnsi="新宋体" w:eastAsia="新宋体" w:cs="新宋体"/>
          <w:b/>
          <w:color w:val="000000"/>
          <w:sz w:val="28"/>
          <w:szCs w:val="28"/>
        </w:rPr>
      </w:pPr>
      <w:r>
        <w:rPr>
          <w:rFonts w:hint="eastAsia" w:ascii="新宋体" w:hAnsi="新宋体" w:eastAsia="新宋体" w:cs="新宋体"/>
          <w:b/>
          <w:bCs/>
          <w:color w:val="000000"/>
          <w:sz w:val="28"/>
          <w:szCs w:val="28"/>
        </w:rPr>
        <w:t>4.4溢油的化学处理</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4.4.1溢油分散剂</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4.4.1.1溢油分散剂的特点</w:t>
      </w:r>
    </w:p>
    <w:p>
      <w:pPr>
        <w:numPr>
          <w:ilvl w:val="0"/>
          <w:numId w:val="10"/>
        </w:numPr>
        <w:rPr>
          <w:rFonts w:hint="eastAsia" w:ascii="新宋体" w:hAnsi="新宋体" w:eastAsia="新宋体" w:cs="新宋体"/>
          <w:b/>
          <w:bCs/>
          <w:color w:val="000000"/>
          <w:sz w:val="28"/>
          <w:szCs w:val="28"/>
        </w:rPr>
      </w:pPr>
      <w:r>
        <w:rPr>
          <w:rFonts w:hint="eastAsia" w:ascii="新宋体" w:hAnsi="新宋体" w:eastAsia="新宋体" w:cs="新宋体"/>
          <w:b/>
          <w:bCs/>
          <w:color w:val="000000"/>
          <w:sz w:val="28"/>
          <w:szCs w:val="28"/>
        </w:rPr>
        <w:t>加快溢油的分解进程</w:t>
      </w:r>
    </w:p>
    <w:p>
      <w:pPr>
        <w:numPr>
          <w:ilvl w:val="0"/>
          <w:numId w:val="10"/>
        </w:numPr>
        <w:rPr>
          <w:rFonts w:hint="eastAsia" w:ascii="新宋体" w:hAnsi="新宋体" w:eastAsia="新宋体" w:cs="新宋体"/>
          <w:b/>
          <w:bCs/>
          <w:color w:val="000000"/>
          <w:sz w:val="28"/>
          <w:szCs w:val="28"/>
        </w:rPr>
      </w:pPr>
      <w:r>
        <w:rPr>
          <w:rFonts w:hint="eastAsia" w:ascii="新宋体" w:hAnsi="新宋体" w:eastAsia="新宋体" w:cs="新宋体"/>
          <w:b/>
          <w:bCs/>
          <w:color w:val="000000"/>
          <w:sz w:val="28"/>
          <w:szCs w:val="28"/>
        </w:rPr>
        <w:t>防止溢油再聚合</w:t>
      </w:r>
    </w:p>
    <w:p>
      <w:pPr>
        <w:numPr>
          <w:ilvl w:val="0"/>
          <w:numId w:val="10"/>
        </w:numPr>
        <w:rPr>
          <w:rFonts w:hint="eastAsia" w:ascii="新宋体" w:hAnsi="新宋体" w:eastAsia="新宋体" w:cs="新宋体"/>
          <w:b/>
          <w:bCs/>
          <w:color w:val="000000"/>
          <w:sz w:val="28"/>
          <w:szCs w:val="28"/>
        </w:rPr>
      </w:pPr>
      <w:r>
        <w:rPr>
          <w:rFonts w:hint="eastAsia" w:ascii="新宋体" w:hAnsi="新宋体" w:eastAsia="新宋体" w:cs="新宋体"/>
          <w:b/>
          <w:bCs/>
          <w:color w:val="000000"/>
          <w:sz w:val="28"/>
          <w:szCs w:val="28"/>
        </w:rPr>
        <w:t>降低溢油浓度</w:t>
      </w:r>
    </w:p>
    <w:p>
      <w:pPr>
        <w:numPr>
          <w:ilvl w:val="0"/>
          <w:numId w:val="10"/>
        </w:numPr>
        <w:rPr>
          <w:rFonts w:hint="eastAsia" w:ascii="新宋体" w:hAnsi="新宋体" w:eastAsia="新宋体" w:cs="新宋体"/>
          <w:b/>
          <w:bCs/>
          <w:color w:val="000000"/>
          <w:sz w:val="28"/>
          <w:szCs w:val="28"/>
        </w:rPr>
      </w:pPr>
      <w:r>
        <w:rPr>
          <w:rFonts w:hint="eastAsia" w:ascii="新宋体" w:hAnsi="新宋体" w:eastAsia="新宋体" w:cs="新宋体"/>
          <w:b/>
          <w:bCs/>
          <w:color w:val="000000"/>
          <w:sz w:val="28"/>
          <w:szCs w:val="28"/>
        </w:rPr>
        <w:t>防止溢油乳化</w:t>
      </w:r>
    </w:p>
    <w:p>
      <w:pPr>
        <w:numPr>
          <w:ilvl w:val="0"/>
          <w:numId w:val="10"/>
        </w:numPr>
        <w:rPr>
          <w:rFonts w:hint="eastAsia" w:ascii="新宋体" w:hAnsi="新宋体" w:eastAsia="新宋体" w:cs="新宋体"/>
          <w:b/>
          <w:bCs/>
          <w:color w:val="000000"/>
          <w:sz w:val="28"/>
          <w:szCs w:val="28"/>
        </w:rPr>
      </w:pPr>
      <w:r>
        <w:rPr>
          <w:rFonts w:hint="eastAsia" w:ascii="新宋体" w:hAnsi="新宋体" w:eastAsia="新宋体" w:cs="新宋体"/>
          <w:b/>
          <w:bCs/>
          <w:color w:val="000000"/>
          <w:sz w:val="28"/>
          <w:szCs w:val="28"/>
        </w:rPr>
        <w:t>减少溢油对敏感资源的危害</w:t>
      </w:r>
    </w:p>
    <w:p>
      <w:pPr>
        <w:numPr>
          <w:ilvl w:val="0"/>
          <w:numId w:val="10"/>
        </w:numPr>
        <w:rPr>
          <w:rFonts w:hint="eastAsia" w:ascii="新宋体" w:hAnsi="新宋体" w:eastAsia="新宋体" w:cs="新宋体"/>
          <w:b/>
          <w:bCs/>
          <w:color w:val="000000"/>
          <w:sz w:val="28"/>
          <w:szCs w:val="28"/>
        </w:rPr>
      </w:pPr>
      <w:r>
        <w:rPr>
          <w:rFonts w:hint="eastAsia" w:ascii="新宋体" w:hAnsi="新宋体" w:eastAsia="新宋体" w:cs="新宋体"/>
          <w:b/>
          <w:bCs/>
          <w:color w:val="000000"/>
          <w:sz w:val="28"/>
          <w:szCs w:val="28"/>
        </w:rPr>
        <w:t>降低火灾危险</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4.4.1.2溢油分散剂喷洒方法</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4.4.1.2.1船载喷洒器喷洒（如图15）</w:t>
      </w:r>
    </w:p>
    <w:p>
      <w:pPr>
        <w:rPr>
          <w:rFonts w:hint="eastAsia" w:ascii="新宋体" w:hAnsi="新宋体" w:eastAsia="新宋体" w:cs="新宋体"/>
          <w:color w:val="000000"/>
          <w:sz w:val="28"/>
          <w:szCs w:val="28"/>
        </w:rPr>
      </w:pPr>
      <w:r>
        <w:rPr>
          <w:rFonts w:hint="eastAsia" w:ascii="新宋体" w:hAnsi="新宋体" w:eastAsia="新宋体" w:cs="新宋体"/>
        </w:rPr>
        <w:drawing>
          <wp:inline distT="0" distB="0" distL="114300" distR="114300">
            <wp:extent cx="6057265" cy="3822700"/>
            <wp:effectExtent l="0" t="0" r="635" b="6350"/>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31"/>
                    <a:stretch>
                      <a:fillRect/>
                    </a:stretch>
                  </pic:blipFill>
                  <pic:spPr>
                    <a:xfrm>
                      <a:off x="0" y="0"/>
                      <a:ext cx="6057265" cy="3822700"/>
                    </a:xfrm>
                    <a:prstGeom prst="rect">
                      <a:avLst/>
                    </a:prstGeom>
                    <a:noFill/>
                    <a:ln w="9525">
                      <a:noFill/>
                    </a:ln>
                  </pic:spPr>
                </pic:pic>
              </a:graphicData>
            </a:graphic>
          </wp:inline>
        </w:drawing>
      </w:r>
    </w:p>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图15 船载喷洒装置在喷洒溢油分散剂</w:t>
      </w:r>
    </w:p>
    <w:p>
      <w:pPr>
        <w:rPr>
          <w:rFonts w:hint="eastAsia" w:ascii="新宋体" w:hAnsi="新宋体" w:eastAsia="新宋体" w:cs="新宋体"/>
          <w:sz w:val="28"/>
          <w:szCs w:val="28"/>
        </w:rPr>
      </w:pPr>
      <w:r>
        <w:rPr>
          <w:rFonts w:hint="eastAsia" w:ascii="新宋体" w:hAnsi="新宋体" w:eastAsia="新宋体" w:cs="新宋体"/>
          <w:sz w:val="28"/>
          <w:szCs w:val="28"/>
        </w:rPr>
        <w:t>4.4.1.2.1.1</w:t>
      </w:r>
      <w:bookmarkStart w:id="6" w:name="_Toc293488387"/>
      <w:r>
        <w:rPr>
          <w:rFonts w:hint="eastAsia" w:ascii="新宋体" w:hAnsi="新宋体" w:eastAsia="新宋体" w:cs="新宋体"/>
          <w:sz w:val="28"/>
          <w:szCs w:val="28"/>
        </w:rPr>
        <w:t>喷洒溢油分散剂前准备</w:t>
      </w:r>
      <w:bookmarkEnd w:id="6"/>
      <w:bookmarkStart w:id="7" w:name="_Toc293488388"/>
    </w:p>
    <w:p>
      <w:pPr>
        <w:rPr>
          <w:rFonts w:hint="eastAsia" w:ascii="新宋体" w:hAnsi="新宋体" w:eastAsia="新宋体" w:cs="新宋体"/>
          <w:sz w:val="28"/>
          <w:szCs w:val="28"/>
        </w:rPr>
      </w:pPr>
      <w:r>
        <w:rPr>
          <w:rFonts w:hint="eastAsia" w:ascii="新宋体" w:hAnsi="新宋体" w:eastAsia="新宋体" w:cs="新宋体"/>
          <w:sz w:val="28"/>
          <w:szCs w:val="28"/>
        </w:rPr>
        <w:t>(1) 确认液压集中型液压动力站冷却水已供给</w:t>
      </w:r>
      <w:bookmarkStart w:id="8" w:name="_Toc293488389"/>
      <w:bookmarkEnd w:id="7"/>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(2) 确认收油机控制柜电源接通</w:t>
      </w:r>
      <w:bookmarkStart w:id="9" w:name="_Toc293488390"/>
      <w:bookmarkEnd w:id="8"/>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(3) 检查集中型液压动力站油箱的液压油油位</w:t>
      </w:r>
      <w:bookmarkStart w:id="10" w:name="_Toc293488391"/>
      <w:bookmarkEnd w:id="9"/>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(4) 确认甲板上液压操控台、液压充吸气机的各手动阀手柄均在停止位置</w:t>
      </w:r>
      <w:bookmarkStart w:id="11" w:name="_Toc293488392"/>
      <w:bookmarkEnd w:id="10"/>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(5) 确认前甲板上液压起锚机压力管路上的截止阀已关闭</w:t>
      </w:r>
      <w:bookmarkStart w:id="12" w:name="_Toc293488393"/>
      <w:bookmarkEnd w:id="11"/>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(6) 检查各液压管路是否泄漏</w:t>
      </w:r>
      <w:bookmarkStart w:id="13" w:name="_Toc293488394"/>
      <w:bookmarkEnd w:id="12"/>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(7) 检查回收油装置各润滑点</w:t>
      </w:r>
      <w:bookmarkStart w:id="14" w:name="_Toc293488395"/>
      <w:bookmarkEnd w:id="13"/>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(8) 确认喷洒泵站吸油管路上的截止阀已打开，溢油分散剂已供给</w:t>
      </w:r>
      <w:bookmarkStart w:id="15" w:name="_Toc293488396"/>
      <w:bookmarkEnd w:id="14"/>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(9) 确认喷洒臂上的进油管球阀已打开</w:t>
      </w:r>
      <w:bookmarkStart w:id="16" w:name="_Toc293488397"/>
      <w:bookmarkEnd w:id="15"/>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(10) 检查各连接处是否牢固可靠</w:t>
      </w:r>
      <w:bookmarkStart w:id="17" w:name="_Toc293488398"/>
      <w:bookmarkEnd w:id="16"/>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(11) 启动集中型液压动力站电机并加载，分别操纵收油机液压操控台和喷洒装置液压控制台上的控制手柄，分别将两个喷洒臂转到船外与栏杆垂直方向；</w:t>
      </w:r>
      <w:bookmarkEnd w:id="17"/>
      <w:bookmarkStart w:id="18" w:name="_Toc293488401"/>
    </w:p>
    <w:p>
      <w:pPr>
        <w:rPr>
          <w:rFonts w:hint="eastAsia" w:ascii="新宋体" w:hAnsi="新宋体" w:eastAsia="新宋体" w:cs="新宋体"/>
          <w:sz w:val="28"/>
          <w:szCs w:val="28"/>
        </w:rPr>
      </w:pPr>
      <w:r>
        <w:rPr>
          <w:rFonts w:hint="eastAsia" w:ascii="新宋体" w:hAnsi="新宋体" w:eastAsia="新宋体" w:cs="新宋体"/>
          <w:sz w:val="28"/>
          <w:szCs w:val="28"/>
        </w:rPr>
        <w:t>(12) 按“喷洒泵启动”按钮（集中控制台面板），启动电动机，喷洒溢油分散剂。</w:t>
      </w:r>
      <w:bookmarkEnd w:id="18"/>
    </w:p>
    <w:p>
      <w:pPr>
        <w:rPr>
          <w:rFonts w:hint="eastAsia" w:ascii="新宋体" w:hAnsi="新宋体" w:eastAsia="新宋体" w:cs="新宋体"/>
          <w:sz w:val="28"/>
          <w:szCs w:val="28"/>
        </w:rPr>
      </w:pPr>
      <w:r>
        <w:rPr>
          <w:rFonts w:hint="eastAsia" w:ascii="新宋体" w:hAnsi="新宋体" w:eastAsia="新宋体" w:cs="新宋体"/>
          <w:sz w:val="28"/>
          <w:szCs w:val="28"/>
        </w:rPr>
        <w:t>注：喷洒溢油分散剂时如收油机不工作，应按“液压系统卸荷”按钮，液压系统卸荷。</w:t>
      </w:r>
      <w:bookmarkStart w:id="19" w:name="_Toc293488402"/>
    </w:p>
    <w:p>
      <w:pPr>
        <w:rPr>
          <w:rFonts w:hint="eastAsia" w:ascii="新宋体" w:hAnsi="新宋体" w:eastAsia="新宋体" w:cs="新宋体"/>
          <w:sz w:val="28"/>
          <w:szCs w:val="28"/>
        </w:rPr>
      </w:pPr>
      <w:r>
        <w:rPr>
          <w:rFonts w:hint="eastAsia" w:ascii="新宋体" w:hAnsi="新宋体" w:eastAsia="新宋体" w:cs="新宋体"/>
          <w:sz w:val="28"/>
          <w:szCs w:val="28"/>
        </w:rPr>
        <w:t>4.4.1.2.1.2作业结束</w:t>
      </w:r>
      <w:bookmarkEnd w:id="19"/>
      <w:bookmarkStart w:id="20" w:name="_Toc293488403"/>
    </w:p>
    <w:p>
      <w:pPr>
        <w:rPr>
          <w:rFonts w:hint="eastAsia" w:ascii="新宋体" w:hAnsi="新宋体" w:eastAsia="新宋体" w:cs="新宋体"/>
          <w:sz w:val="28"/>
          <w:szCs w:val="28"/>
        </w:rPr>
      </w:pPr>
      <w:r>
        <w:rPr>
          <w:rFonts w:hint="eastAsia" w:ascii="新宋体" w:hAnsi="新宋体" w:eastAsia="新宋体" w:cs="新宋体"/>
          <w:sz w:val="28"/>
          <w:szCs w:val="28"/>
        </w:rPr>
        <w:t>(1) 溢油分散剂喷洒泵站电机停止</w:t>
      </w:r>
      <w:bookmarkStart w:id="21" w:name="_Toc293488404"/>
      <w:bookmarkEnd w:id="20"/>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(2) 将喷洒臂转回到船外与栏杆平行方向，并固定好</w:t>
      </w:r>
      <w:bookmarkStart w:id="22" w:name="_Toc293488405"/>
      <w:bookmarkEnd w:id="21"/>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(3) 关闭撑杆的进油管球阀</w:t>
      </w:r>
      <w:bookmarkStart w:id="23" w:name="_Toc293488406"/>
      <w:bookmarkEnd w:id="22"/>
      <w:r>
        <w:rPr>
          <w:rFonts w:hint="eastAsia" w:ascii="新宋体" w:hAnsi="新宋体" w:eastAsia="新宋体" w:cs="新宋体"/>
          <w:sz w:val="28"/>
          <w:szCs w:val="28"/>
        </w:rPr>
        <w:t>；</w:t>
      </w:r>
    </w:p>
    <w:p>
      <w:pPr>
        <w:rPr>
          <w:rFonts w:hint="eastAsia" w:ascii="新宋体" w:hAnsi="新宋体" w:eastAsia="新宋体" w:cs="新宋体"/>
          <w:sz w:val="28"/>
          <w:szCs w:val="28"/>
        </w:rPr>
      </w:pPr>
      <w:r>
        <w:rPr>
          <w:rFonts w:hint="eastAsia" w:ascii="新宋体" w:hAnsi="新宋体" w:eastAsia="新宋体" w:cs="新宋体"/>
          <w:sz w:val="28"/>
          <w:szCs w:val="28"/>
        </w:rPr>
        <w:t>(4) 关闭喷洒泵站与溢油分散剂舱管路上的截止阀</w:t>
      </w:r>
      <w:bookmarkStart w:id="24" w:name="_Toc293488407"/>
      <w:bookmarkEnd w:id="23"/>
      <w:r>
        <w:rPr>
          <w:rFonts w:hint="eastAsia" w:ascii="新宋体" w:hAnsi="新宋体" w:eastAsia="新宋体" w:cs="新宋体"/>
          <w:sz w:val="28"/>
          <w:szCs w:val="28"/>
        </w:rPr>
        <w:t>；</w:t>
      </w:r>
    </w:p>
    <w:p>
      <w:pPr>
        <w:rPr>
          <w:rFonts w:hint="eastAsia" w:ascii="新宋体" w:hAnsi="新宋体" w:eastAsia="新宋体" w:cs="新宋体"/>
          <w:color w:val="000000"/>
          <w:sz w:val="28"/>
          <w:szCs w:val="28"/>
        </w:rPr>
      </w:pPr>
      <w:r>
        <w:rPr>
          <w:rFonts w:hint="eastAsia" w:ascii="新宋体" w:hAnsi="新宋体" w:eastAsia="新宋体" w:cs="新宋体"/>
          <w:sz w:val="28"/>
          <w:szCs w:val="28"/>
        </w:rPr>
        <w:t>(5) 液压系统卸荷、集中型液压动力站电机停止。</w:t>
      </w:r>
      <w:bookmarkEnd w:id="24"/>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4.4.1.2.2人工喷洒（如图16）</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drawing>
          <wp:inline distT="0" distB="0" distL="114300" distR="114300">
            <wp:extent cx="6052185" cy="3622040"/>
            <wp:effectExtent l="0" t="0" r="5715" b="16510"/>
            <wp:docPr id="40" name="图片 20" descr="DSC0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DSC00662"/>
                    <pic:cNvPicPr>
                      <a:picLocks noChangeAspect="1"/>
                    </pic:cNvPicPr>
                  </pic:nvPicPr>
                  <pic:blipFill>
                    <a:blip r:embed="rId32"/>
                    <a:stretch>
                      <a:fillRect/>
                    </a:stretch>
                  </pic:blipFill>
                  <pic:spPr>
                    <a:xfrm>
                      <a:off x="0" y="0"/>
                      <a:ext cx="6052185" cy="3622040"/>
                    </a:xfrm>
                    <a:prstGeom prst="rect">
                      <a:avLst/>
                    </a:prstGeom>
                    <a:noFill/>
                    <a:ln w="9525">
                      <a:noFill/>
                    </a:ln>
                  </pic:spPr>
                </pic:pic>
              </a:graphicData>
            </a:graphic>
          </wp:inline>
        </w:drawing>
      </w:r>
    </w:p>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图16 手持式溢油分散剂喷洒</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4.4.1.2.3溢油分散剂的利弊</w:t>
      </w:r>
    </w:p>
    <w:p>
      <w:pPr>
        <w:numPr>
          <w:ilvl w:val="0"/>
          <w:numId w:val="11"/>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处理溢油比使用其它应急设备更简便</w:t>
      </w:r>
    </w:p>
    <w:p>
      <w:pPr>
        <w:numPr>
          <w:ilvl w:val="0"/>
          <w:numId w:val="11"/>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不产生处理回收油的环节</w:t>
      </w:r>
    </w:p>
    <w:p>
      <w:pPr>
        <w:numPr>
          <w:ilvl w:val="0"/>
          <w:numId w:val="11"/>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相对于其它回收方法（岸线清除）成本低</w:t>
      </w:r>
    </w:p>
    <w:p>
      <w:pPr>
        <w:numPr>
          <w:ilvl w:val="0"/>
          <w:numId w:val="11"/>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在不良的海况条件仍然有效</w:t>
      </w:r>
    </w:p>
    <w:p>
      <w:pPr>
        <w:numPr>
          <w:ilvl w:val="0"/>
          <w:numId w:val="11"/>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速度快（空中喷洒）</w:t>
      </w:r>
    </w:p>
    <w:p>
      <w:pPr>
        <w:numPr>
          <w:ilvl w:val="0"/>
          <w:numId w:val="11"/>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处理溢油面积广</w:t>
      </w:r>
    </w:p>
    <w:p>
      <w:pPr>
        <w:numPr>
          <w:ilvl w:val="0"/>
          <w:numId w:val="11"/>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rPr>
        <w:t>鸟类免受浮油的侵害</w:t>
      </w:r>
    </w:p>
    <w:p>
      <w:pPr>
        <w:numPr>
          <w:ilvl w:val="0"/>
          <w:numId w:val="12"/>
        </w:numPr>
        <w:rPr>
          <w:rFonts w:hint="eastAsia" w:ascii="新宋体" w:hAnsi="新宋体" w:eastAsia="新宋体" w:cs="新宋体"/>
          <w:bCs/>
          <w:color w:val="000000"/>
          <w:sz w:val="28"/>
          <w:szCs w:val="28"/>
          <w:lang w:val="en-GB"/>
        </w:rPr>
      </w:pPr>
      <w:r>
        <w:rPr>
          <w:rFonts w:hint="eastAsia" w:ascii="新宋体" w:hAnsi="新宋体" w:eastAsia="新宋体" w:cs="新宋体"/>
          <w:bCs/>
          <w:color w:val="000000"/>
          <w:sz w:val="28"/>
          <w:szCs w:val="28"/>
        </w:rPr>
        <w:t>可能带来的环境问题</w:t>
      </w:r>
    </w:p>
    <w:p>
      <w:pPr>
        <w:numPr>
          <w:ilvl w:val="0"/>
          <w:numId w:val="12"/>
        </w:numPr>
        <w:rPr>
          <w:rFonts w:hint="eastAsia" w:ascii="新宋体" w:hAnsi="新宋体" w:eastAsia="新宋体" w:cs="新宋体"/>
          <w:bCs/>
          <w:color w:val="000000"/>
          <w:sz w:val="28"/>
          <w:szCs w:val="28"/>
          <w:lang w:val="en-GB"/>
        </w:rPr>
      </w:pPr>
      <w:r>
        <w:rPr>
          <w:rFonts w:hint="eastAsia" w:ascii="新宋体" w:hAnsi="新宋体" w:eastAsia="新宋体" w:cs="新宋体"/>
          <w:bCs/>
          <w:color w:val="000000"/>
          <w:sz w:val="28"/>
          <w:szCs w:val="28"/>
          <w:lang w:val="en-GB"/>
        </w:rPr>
        <w:t>适用的油种有限</w:t>
      </w:r>
    </w:p>
    <w:p>
      <w:pPr>
        <w:numPr>
          <w:ilvl w:val="0"/>
          <w:numId w:val="12"/>
        </w:numPr>
        <w:rPr>
          <w:rFonts w:hint="eastAsia" w:ascii="新宋体" w:hAnsi="新宋体" w:eastAsia="新宋体" w:cs="新宋体"/>
          <w:bCs/>
          <w:color w:val="000000"/>
          <w:sz w:val="28"/>
          <w:szCs w:val="28"/>
          <w:lang w:val="en-GB"/>
        </w:rPr>
      </w:pPr>
      <w:r>
        <w:rPr>
          <w:rFonts w:hint="eastAsia" w:ascii="新宋体" w:hAnsi="新宋体" w:eastAsia="新宋体" w:cs="新宋体"/>
          <w:bCs/>
          <w:color w:val="000000"/>
          <w:sz w:val="28"/>
          <w:szCs w:val="28"/>
          <w:lang w:val="en-GB"/>
        </w:rPr>
        <w:t>使用的水深和区域受限</w:t>
      </w:r>
      <w:r>
        <w:rPr>
          <w:rFonts w:hint="eastAsia" w:ascii="新宋体" w:hAnsi="新宋体" w:eastAsia="新宋体" w:cs="新宋体"/>
          <w:bCs/>
          <w:color w:val="000000"/>
          <w:sz w:val="28"/>
          <w:szCs w:val="28"/>
        </w:rPr>
        <w:t xml:space="preserve"> （水深、水体交换能力、海洋生物等） </w:t>
      </w:r>
    </w:p>
    <w:p>
      <w:pPr>
        <w:numPr>
          <w:ilvl w:val="0"/>
          <w:numId w:val="13"/>
        </w:numPr>
        <w:rPr>
          <w:rFonts w:hint="eastAsia" w:ascii="新宋体" w:hAnsi="新宋体" w:eastAsia="新宋体" w:cs="新宋体"/>
          <w:bCs/>
          <w:color w:val="000000"/>
          <w:sz w:val="28"/>
          <w:szCs w:val="28"/>
        </w:rPr>
      </w:pPr>
      <w:r>
        <w:rPr>
          <w:rFonts w:hint="eastAsia" w:ascii="新宋体" w:hAnsi="新宋体" w:eastAsia="新宋体" w:cs="新宋体"/>
          <w:bCs/>
          <w:color w:val="000000"/>
          <w:sz w:val="28"/>
          <w:szCs w:val="28"/>
          <w:lang w:val="en-GB"/>
        </w:rPr>
        <w:t xml:space="preserve"> 需要政府部门批准</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特别注意：使用溢油分散剂之前，一定要得到海事部门的批准。</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5溢油应急清污方案</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5.1岸线溢油清除步骤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5.1.1清除大片溢油。回收岸线水边的漂浮溢油和清除岸线上厚的油层。使用真空罐车吸取岸线溢油是最适宜的方法。</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5.1.2清除滩涂溢油。清除渗入沙滩的溢油和被溢油污染的沙滩。如果溢油量很少或溢油在岸线上已有一段时间并且已经渗透到沙滩上层，清除操作经常从这时开始，使用撇油器、清洗机等设备。</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5.1.3最后清洁。将残存的各种油污比较彻底地清除掉，这一阶段的作业需要使用吸油材料。</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5.2岸线清除作业应考虑的因素</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5.2.1油的特性方面</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5.2.1.1参加应急清污人员可能遇到的危险</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5.2.1.2溢油在岸线上的状态</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5.2.1.3为确定岸线清洁措施提供溢油的基础信息</w:t>
      </w:r>
    </w:p>
    <w:p>
      <w:pPr>
        <w:jc w:val="cente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油在各类岸线上的状况</w:t>
      </w:r>
    </w:p>
    <w:tbl>
      <w:tblPr>
        <w:tblStyle w:val="5"/>
        <w:tblW w:w="96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8"/>
        <w:gridCol w:w="1980"/>
        <w:gridCol w:w="4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8" w:type="dxa"/>
            <w:vAlign w:val="center"/>
          </w:tcPr>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岸线类型</w:t>
            </w:r>
          </w:p>
        </w:tc>
        <w:tc>
          <w:tcPr>
            <w:tcW w:w="1980" w:type="dxa"/>
            <w:vAlign w:val="center"/>
          </w:tcPr>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砂石粒度范围</w:t>
            </w:r>
          </w:p>
        </w:tc>
        <w:tc>
          <w:tcPr>
            <w:tcW w:w="4874" w:type="dxa"/>
            <w:vAlign w:val="center"/>
          </w:tcPr>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8" w:type="dxa"/>
            <w:vAlign w:val="center"/>
          </w:tcPr>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岩石、铄石、人工结构物</w:t>
            </w:r>
          </w:p>
        </w:tc>
        <w:tc>
          <w:tcPr>
            <w:tcW w:w="1980" w:type="dxa"/>
            <w:vAlign w:val="center"/>
          </w:tcPr>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＞250mm</w:t>
            </w:r>
          </w:p>
        </w:tc>
        <w:tc>
          <w:tcPr>
            <w:tcW w:w="4874" w:type="dxa"/>
            <w:vAlign w:val="top"/>
          </w:tcPr>
          <w:p>
            <w:pPr>
              <w:rPr>
                <w:rFonts w:hint="eastAsia" w:ascii="新宋体" w:hAnsi="新宋体" w:eastAsia="新宋体" w:cs="新宋体"/>
                <w:color w:val="000000"/>
                <w:szCs w:val="21"/>
              </w:rPr>
            </w:pPr>
            <w:r>
              <w:rPr>
                <w:rFonts w:hint="eastAsia" w:ascii="新宋体" w:hAnsi="新宋体" w:eastAsia="新宋体" w:cs="新宋体"/>
                <w:color w:val="000000"/>
                <w:szCs w:val="21"/>
              </w:rPr>
              <w:t>油往往被反射的波浪从路途的岩石和悬崖处冲走，但也可能被抛掷到粗糙或多孔的岩石表面聚集 。在潮汐冲刷地区，油集于岩石潭中，也可能附在潮汐区岩石的表面。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8" w:type="dxa"/>
            <w:vAlign w:val="center"/>
          </w:tcPr>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鹅卵石、卵石、扁卵石</w:t>
            </w:r>
          </w:p>
        </w:tc>
        <w:tc>
          <w:tcPr>
            <w:tcW w:w="1980" w:type="dxa"/>
            <w:vAlign w:val="center"/>
          </w:tcPr>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2-250mm</w:t>
            </w:r>
          </w:p>
        </w:tc>
        <w:tc>
          <w:tcPr>
            <w:tcW w:w="4874" w:type="dxa"/>
            <w:vAlign w:val="top"/>
          </w:tcPr>
          <w:p>
            <w:pPr>
              <w:rPr>
                <w:rFonts w:hint="eastAsia" w:ascii="新宋体" w:hAnsi="新宋体" w:eastAsia="新宋体" w:cs="新宋体"/>
                <w:color w:val="000000"/>
                <w:szCs w:val="21"/>
              </w:rPr>
            </w:pPr>
            <w:r>
              <w:rPr>
                <w:rFonts w:hint="eastAsia" w:ascii="新宋体" w:hAnsi="新宋体" w:eastAsia="新宋体" w:cs="新宋体"/>
                <w:color w:val="000000"/>
                <w:szCs w:val="21"/>
              </w:rPr>
              <w:t>油的渗透性随石块的尺度增大而增加。在强浪冲击区，岸面石块由于冲蚀会很快干净，而渗入砂石里的油会存留。低粘度油随自然界水的运动被冲出砂石。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8" w:type="dxa"/>
            <w:vAlign w:val="center"/>
          </w:tcPr>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沙</w:t>
            </w:r>
          </w:p>
        </w:tc>
        <w:tc>
          <w:tcPr>
            <w:tcW w:w="1980" w:type="dxa"/>
            <w:vAlign w:val="center"/>
          </w:tcPr>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0.1-2mm</w:t>
            </w:r>
          </w:p>
        </w:tc>
        <w:tc>
          <w:tcPr>
            <w:tcW w:w="4874" w:type="dxa"/>
            <w:vAlign w:val="top"/>
          </w:tcPr>
          <w:p>
            <w:pPr>
              <w:rPr>
                <w:rFonts w:hint="eastAsia" w:ascii="新宋体" w:hAnsi="新宋体" w:eastAsia="新宋体" w:cs="新宋体"/>
                <w:color w:val="000000"/>
                <w:szCs w:val="21"/>
              </w:rPr>
            </w:pPr>
            <w:r>
              <w:rPr>
                <w:rFonts w:hint="eastAsia" w:ascii="新宋体" w:hAnsi="新宋体" w:eastAsia="新宋体" w:cs="新宋体"/>
                <w:color w:val="000000"/>
                <w:szCs w:val="21"/>
              </w:rPr>
              <w:t>油在沙滩上的渗透性取决于沙粒的大小，地下水深度及排水性能。粗沙粒海滩往往是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08" w:type="dxa"/>
            <w:vAlign w:val="center"/>
          </w:tcPr>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泥地（泥滩、湿地、红树林）</w:t>
            </w:r>
          </w:p>
        </w:tc>
        <w:tc>
          <w:tcPr>
            <w:tcW w:w="1980" w:type="dxa"/>
            <w:vAlign w:val="center"/>
          </w:tcPr>
          <w:p>
            <w:pPr>
              <w:jc w:val="center"/>
              <w:rPr>
                <w:rFonts w:hint="eastAsia" w:ascii="新宋体" w:hAnsi="新宋体" w:eastAsia="新宋体" w:cs="新宋体"/>
                <w:color w:val="000000"/>
                <w:szCs w:val="21"/>
              </w:rPr>
            </w:pPr>
            <w:r>
              <w:rPr>
                <w:rFonts w:hint="eastAsia" w:ascii="新宋体" w:hAnsi="新宋体" w:eastAsia="新宋体" w:cs="新宋体"/>
                <w:color w:val="000000"/>
                <w:szCs w:val="21"/>
              </w:rPr>
              <w:t>＜0.1mm</w:t>
            </w:r>
          </w:p>
        </w:tc>
        <w:tc>
          <w:tcPr>
            <w:tcW w:w="4874" w:type="dxa"/>
            <w:vAlign w:val="top"/>
          </w:tcPr>
          <w:p>
            <w:pPr>
              <w:rPr>
                <w:rFonts w:hint="eastAsia" w:ascii="新宋体" w:hAnsi="新宋体" w:eastAsia="新宋体" w:cs="新宋体"/>
                <w:color w:val="000000"/>
                <w:szCs w:val="21"/>
              </w:rPr>
            </w:pPr>
            <w:r>
              <w:rPr>
                <w:rFonts w:hint="eastAsia" w:ascii="新宋体" w:hAnsi="新宋体" w:eastAsia="新宋体" w:cs="新宋体"/>
                <w:color w:val="000000"/>
                <w:szCs w:val="21"/>
              </w:rPr>
              <w:t>泥地具有低能环境的特征，且被水浸泡，所以油很少渗入泥地而长期停留在泥地表面。如果溢油与风暴同时发生，则油能与沉积物相混并长期存在下去。泥地上动物的洞穴和植须的根须可能造成油的渗透</w:t>
            </w:r>
          </w:p>
        </w:tc>
      </w:tr>
    </w:tbl>
    <w:p>
      <w:pPr>
        <w:ind w:firstLine="560" w:firstLineChars="20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在考虑特殊因素方面，有些岸线对溢油的敏感程度有季节性，这直接影响到是否采取岸线清除作业。在特定的时间内野生动物会在该区域觅食或在该区域筑巢孵卵，或聚集着成千上万的迁徙鸟类；滨海沙滩具有旅游观光，作为浴场等很高的经济价值和社会价值，在旅游季节或有特殊用途时，应考虑公众的关注程度。</w:t>
      </w:r>
    </w:p>
    <w:p>
      <w:pPr>
        <w:ind w:firstLine="560" w:firstLineChars="20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根据不同岸线的特点和不同清除技术的适用范围，下表总结了不同岸线初始清除和最终清除的清除方法。</w:t>
      </w:r>
    </w:p>
    <w:p>
      <w:pPr>
        <w:jc w:val="cente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不同类型岸线的清除方法</w:t>
      </w:r>
    </w:p>
    <w:tbl>
      <w:tblPr>
        <w:tblStyle w:val="5"/>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396"/>
        <w:gridCol w:w="396"/>
        <w:gridCol w:w="468"/>
        <w:gridCol w:w="396"/>
        <w:gridCol w:w="2304"/>
        <w:gridCol w:w="720"/>
        <w:gridCol w:w="455"/>
        <w:gridCol w:w="432"/>
        <w:gridCol w:w="468"/>
        <w:gridCol w:w="396"/>
        <w:gridCol w:w="396"/>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608" w:type="dxa"/>
            <w:gridSpan w:val="6"/>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初始清除</w:t>
            </w:r>
          </w:p>
        </w:tc>
        <w:tc>
          <w:tcPr>
            <w:tcW w:w="4582" w:type="dxa"/>
            <w:gridSpan w:val="7"/>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最终清除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jc w:val="center"/>
              <w:rPr>
                <w:rFonts w:hint="eastAsia" w:ascii="新宋体" w:hAnsi="新宋体" w:eastAsia="新宋体" w:cs="新宋体"/>
                <w:color w:val="000000"/>
                <w:sz w:val="18"/>
                <w:szCs w:val="18"/>
              </w:rPr>
            </w:pP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泵吸/撇除</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机械清除</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人工清除</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自然复原</w:t>
            </w:r>
          </w:p>
        </w:tc>
        <w:tc>
          <w:tcPr>
            <w:tcW w:w="2304"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说明</w:t>
            </w:r>
          </w:p>
        </w:tc>
        <w:tc>
          <w:tcPr>
            <w:tcW w:w="720"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低压冲刷</w:t>
            </w:r>
          </w:p>
        </w:tc>
        <w:tc>
          <w:tcPr>
            <w:tcW w:w="45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高</w:t>
            </w:r>
          </w:p>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压</w:t>
            </w:r>
          </w:p>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冲</w:t>
            </w:r>
          </w:p>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洗</w:t>
            </w:r>
          </w:p>
        </w:tc>
        <w:tc>
          <w:tcPr>
            <w:tcW w:w="432"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分散剂</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自然吸附</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分批冲洗</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自然复原</w:t>
            </w:r>
          </w:p>
        </w:tc>
        <w:tc>
          <w:tcPr>
            <w:tcW w:w="171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岩石铄石人工构筑物</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不适用</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2304"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不易进出的不采用泵吸/撇除的方法。暴露的和人迹罕至的岸线最好用自然复原方法</w:t>
            </w:r>
          </w:p>
        </w:tc>
        <w:tc>
          <w:tcPr>
            <w:tcW w:w="720"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不适用</w:t>
            </w:r>
          </w:p>
        </w:tc>
        <w:tc>
          <w:tcPr>
            <w:tcW w:w="45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432"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171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避免损伤岩石/人工构筑物。巨大的岩石不易清除通常清除效果差。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卵石铄石扁铄石</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不适用</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2304"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暴露/人迹罕至的岸线最好用自然复原方法。</w:t>
            </w:r>
          </w:p>
        </w:tc>
        <w:tc>
          <w:tcPr>
            <w:tcW w:w="720"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45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432"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171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如果有较好的承受特性，通过海浪冲击可提高自然复原效果。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沙滩</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2304"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重型设备只适用于坚硬的海滩。</w:t>
            </w:r>
          </w:p>
        </w:tc>
        <w:tc>
          <w:tcPr>
            <w:tcW w:w="720"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45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432"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171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可用通用的海滩清除机械清除固体状油，用耙可提高自然复原效果。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5" w:hRule="atLeast"/>
        </w:trPr>
        <w:tc>
          <w:tcPr>
            <w:tcW w:w="64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淤泥滩、沼泽</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2304"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最好用浅吃水的小船进行作业</w:t>
            </w:r>
          </w:p>
        </w:tc>
        <w:tc>
          <w:tcPr>
            <w:tcW w:w="720"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45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432"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468"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可能有用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不可用</w:t>
            </w:r>
          </w:p>
        </w:tc>
        <w:tc>
          <w:tcPr>
            <w:tcW w:w="396"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可用</w:t>
            </w:r>
          </w:p>
        </w:tc>
        <w:tc>
          <w:tcPr>
            <w:tcW w:w="1715" w:type="dxa"/>
            <w:vAlign w:val="center"/>
          </w:tcPr>
          <w:p>
            <w:pPr>
              <w:jc w:val="center"/>
              <w:rPr>
                <w:rFonts w:hint="eastAsia" w:ascii="新宋体" w:hAnsi="新宋体" w:eastAsia="新宋体" w:cs="新宋体"/>
                <w:color w:val="000000"/>
                <w:sz w:val="18"/>
                <w:szCs w:val="18"/>
              </w:rPr>
            </w:pPr>
            <w:r>
              <w:rPr>
                <w:rFonts w:hint="eastAsia" w:ascii="新宋体" w:hAnsi="新宋体" w:eastAsia="新宋体" w:cs="新宋体"/>
                <w:color w:val="000000"/>
                <w:sz w:val="18"/>
                <w:szCs w:val="18"/>
              </w:rPr>
              <w:t>最好用浅吃水的小船进行作业</w:t>
            </w:r>
          </w:p>
        </w:tc>
      </w:tr>
    </w:tbl>
    <w:p>
      <w:pPr>
        <w:rPr>
          <w:rFonts w:hint="eastAsia" w:ascii="新宋体" w:hAnsi="新宋体" w:eastAsia="新宋体" w:cs="新宋体"/>
          <w:color w:val="000000"/>
          <w:sz w:val="28"/>
          <w:szCs w:val="28"/>
        </w:rPr>
      </w:pPr>
    </w:p>
    <w:p>
      <w:pPr>
        <w:rPr>
          <w:rFonts w:hint="eastAsia" w:ascii="新宋体" w:hAnsi="新宋体" w:eastAsia="新宋体" w:cs="新宋体"/>
          <w:b/>
          <w:color w:val="000000"/>
          <w:sz w:val="28"/>
          <w:szCs w:val="28"/>
        </w:rPr>
      </w:pPr>
      <w:r>
        <w:rPr>
          <w:rFonts w:hint="eastAsia" w:ascii="新宋体" w:hAnsi="新宋体" w:eastAsia="新宋体" w:cs="新宋体"/>
          <w:color w:val="000000"/>
          <w:sz w:val="28"/>
          <w:szCs w:val="28"/>
        </w:rPr>
        <w:t>5.3</w:t>
      </w:r>
      <w:r>
        <w:rPr>
          <w:rFonts w:hint="eastAsia" w:ascii="新宋体" w:hAnsi="新宋体" w:eastAsia="新宋体" w:cs="新宋体"/>
          <w:b/>
          <w:color w:val="000000"/>
          <w:sz w:val="28"/>
          <w:szCs w:val="28"/>
        </w:rPr>
        <w:t>溢油上岸的作业方案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5.3.1岸线围油栏布放</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5.3.1.1溢油上岸有两种情况</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溢油上岸后海里还有大片溢油；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溢油上岸后海里基本上没有溢油。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5.3.1.2对海里还有大片溢油的清除作业方案</w:t>
      </w:r>
    </w:p>
    <w:p>
      <w:pPr>
        <w:ind w:firstLine="560" w:firstLineChars="200"/>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布放岸线围油栏，阻止海上的溢油继续上岸。（图17、图18）</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drawing>
          <wp:inline distT="0" distB="0" distL="114300" distR="114300">
            <wp:extent cx="5943600" cy="2566035"/>
            <wp:effectExtent l="0" t="0" r="0" b="5715"/>
            <wp:docPr id="41" name="图片 21" descr="P&amp;L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P&amp;L 14"/>
                    <pic:cNvPicPr>
                      <a:picLocks noChangeAspect="1"/>
                    </pic:cNvPicPr>
                  </pic:nvPicPr>
                  <pic:blipFill>
                    <a:blip r:embed="rId33"/>
                    <a:srcRect l="6522" r="6522"/>
                    <a:stretch>
                      <a:fillRect/>
                    </a:stretch>
                  </pic:blipFill>
                  <pic:spPr>
                    <a:xfrm>
                      <a:off x="0" y="0"/>
                      <a:ext cx="5943600" cy="2566035"/>
                    </a:xfrm>
                    <a:prstGeom prst="rect">
                      <a:avLst/>
                    </a:prstGeom>
                    <a:noFill/>
                    <a:ln w="9525">
                      <a:noFill/>
                    </a:ln>
                  </pic:spPr>
                </pic:pic>
              </a:graphicData>
            </a:graphic>
          </wp:inline>
        </w:drawing>
      </w:r>
    </w:p>
    <w:p>
      <w:pPr>
        <w:jc w:val="center"/>
        <w:rPr>
          <w:rFonts w:hint="eastAsia" w:ascii="新宋体" w:hAnsi="新宋体" w:eastAsia="新宋体" w:cs="新宋体"/>
          <w:color w:val="000000"/>
          <w:sz w:val="24"/>
        </w:rPr>
      </w:pPr>
      <w:r>
        <w:rPr>
          <w:rFonts w:hint="eastAsia" w:ascii="新宋体" w:hAnsi="新宋体" w:eastAsia="新宋体" w:cs="新宋体"/>
          <w:color w:val="000000"/>
          <w:sz w:val="24"/>
        </w:rPr>
        <w:t>图17   岸滩围油栏的布放方式一</w:t>
      </w:r>
    </w:p>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drawing>
          <wp:inline distT="0" distB="0" distL="114300" distR="114300">
            <wp:extent cx="6057900" cy="2787015"/>
            <wp:effectExtent l="0" t="0" r="0" b="1333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4"/>
                    <a:stretch>
                      <a:fillRect/>
                    </a:stretch>
                  </pic:blipFill>
                  <pic:spPr>
                    <a:xfrm>
                      <a:off x="0" y="0"/>
                      <a:ext cx="6057900" cy="2787015"/>
                    </a:xfrm>
                    <a:prstGeom prst="rect">
                      <a:avLst/>
                    </a:prstGeom>
                    <a:noFill/>
                    <a:ln w="9525">
                      <a:noFill/>
                    </a:ln>
                  </pic:spPr>
                </pic:pic>
              </a:graphicData>
            </a:graphic>
          </wp:inline>
        </w:drawing>
      </w:r>
    </w:p>
    <w:p>
      <w:pPr>
        <w:jc w:val="center"/>
        <w:rPr>
          <w:rFonts w:hint="eastAsia" w:ascii="新宋体" w:hAnsi="新宋体" w:eastAsia="新宋体" w:cs="新宋体"/>
          <w:color w:val="000000"/>
          <w:sz w:val="24"/>
        </w:rPr>
      </w:pPr>
      <w:r>
        <w:rPr>
          <w:rFonts w:hint="eastAsia" w:ascii="新宋体" w:hAnsi="新宋体" w:eastAsia="新宋体" w:cs="新宋体"/>
          <w:color w:val="000000"/>
          <w:sz w:val="24"/>
        </w:rPr>
        <w:t>图18   岸滩围油栏的布放方式二</w:t>
      </w:r>
    </w:p>
    <w:p>
      <w:pPr>
        <w:jc w:val="center"/>
        <w:rPr>
          <w:rFonts w:hint="eastAsia" w:ascii="新宋体" w:hAnsi="新宋体" w:eastAsia="新宋体" w:cs="新宋体"/>
          <w:color w:val="000000"/>
          <w:sz w:val="24"/>
        </w:rPr>
      </w:pP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5.3.1.3岸线溢油清除技术</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岩石和人造结构</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(1.1) 使用撇油器、泵等设备回收被围控的睡眠漂浮有用。在潮汐地带，油被潮汐冲洗下来流向围油栏与撇油器结合使用的围控区域。采用这种方案时，必须使用围油栏将作业区域尽可能地围成封闭形，在围油栏围控的区域内回收冲洗下来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(1.2) 使用高压清洗设备清洗岩石/混凝土结构物。清洗时可使用海水，使用热水清洗时，应考虑环境中的微生物是否会因高温而遭受破坏。这些微生物群体是其他更复杂生物生存的基础，使用热水清除会造成比微生物生活在油中或比冷水清洗更严重的问题。使用围油栏和撇油器回收冲洗下来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圆石、小鹅卵石、鹅卵石</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(2.1) 使用的技术与岩石、人造建筑的清洁技术相同。但是，不能使用重型机械，这是由于这种岸线承载能力差，会损害植物群体。</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(2.2) 使用海水高压清洗设备，将石头表面溢油冲入布放在围油栏和撇油器的水中。在这种操作过程中，有些溢油会渗透到更深的岸线中，溢油会在几周或几个月慢慢地渗出。只有在移开石头后才能进行清洁的地方，应考虑海岸线受到侵蚀的影响。</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(2.3) 将清洗过但仍粘有油的石头推入海中，这些石头将被海浪冲刷干净。</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(3)沙滩</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(3.1) 回收污染的表面沙子。使用重型机械设备，或使用铁锹和木铲。将回收的沙子装入塑料袋内。</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(3.2) 人力收集油污沙子，直接装入车辆，运送到临时储存场地。</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(3.3) 在涨潮前，用岸滩围油栏将一段沙滩围控起来，围油栏距离沙滩约20米。</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(3.4) 在围控区内用小型围油栏围控释放出来的溢油，并向岸线方向围拢。</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(4)有沉积物的岸线</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(4.1) 开挖出排泄沟以使低压海水冲洗出来的油流入收集池中，然后将油泵走。</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(4.2) 非常柔软的泥沙岸线只能采用人工清除。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5.3.1.4溢油上岸后海里基本上没有溢油的应急清污方案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在海岸边布放岸线围油栏，防止油被海浪重新冲入海中；</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在离岸线一定距离（以海水冲击不到的地方）筑起沙坝，防止油被冲入海中；</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用清洗装置冲洗岩石上的溢油；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用耙子清理沙滩上的溢油；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用吸油毡擦洗岸滩上的溢油；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 用小铲、钳子等工具清除草丛中的溢油。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5.3.1.5溢油上岸应急清除程序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布放岸线围油栏进行围控；</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必要时，建筑一道沙坝，防止海上溢油继续上岸；</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先清除离岸较远的溢油；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将油从高处往下赶，在有海水的地方使用撇油器收集；</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及时将油垃圾装入垃圾袋，防止二次污染。</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5.4岸边沉船应急清污方案（如图19、图20）</w:t>
      </w:r>
    </w:p>
    <w:p>
      <w:pPr>
        <w:widowControl/>
        <w:jc w:val="left"/>
        <w:rPr>
          <w:rFonts w:hint="eastAsia" w:ascii="新宋体" w:hAnsi="新宋体" w:eastAsia="新宋体" w:cs="新宋体"/>
          <w:kern w:val="0"/>
          <w:sz w:val="24"/>
        </w:rPr>
      </w:pPr>
      <w:r>
        <w:rPr>
          <w:rFonts w:hint="eastAsia" w:ascii="新宋体" w:hAnsi="新宋体" w:eastAsia="新宋体" w:cs="新宋体"/>
          <w:kern w:val="0"/>
          <w:sz w:val="24"/>
        </w:rPr>
        <w:fldChar w:fldCharType="begin"/>
      </w:r>
      <w:r>
        <w:rPr>
          <w:rFonts w:hint="eastAsia" w:ascii="新宋体" w:hAnsi="新宋体" w:eastAsia="新宋体" w:cs="新宋体"/>
          <w:kern w:val="0"/>
          <w:sz w:val="24"/>
        </w:rPr>
        <w:instrText xml:space="preserve"> INCLUDEPICTURE "../../Administrator/Application%20Data/Tencent/Users/393354051/QQ/WinTemp/RichOle/PUJ~(%5dK_T1%5d%7dQ%5d%60(%5dH7DT_A.jpg" \* MERGEFORMAT </w:instrText>
      </w:r>
      <w:r>
        <w:rPr>
          <w:rFonts w:hint="eastAsia" w:ascii="新宋体" w:hAnsi="新宋体" w:eastAsia="新宋体" w:cs="新宋体"/>
          <w:kern w:val="0"/>
          <w:sz w:val="24"/>
        </w:rPr>
        <w:fldChar w:fldCharType="separate"/>
      </w:r>
      <w:r>
        <w:rPr>
          <w:rFonts w:hint="eastAsia" w:ascii="新宋体" w:hAnsi="新宋体" w:eastAsia="新宋体" w:cs="新宋体"/>
          <w:kern w:val="0"/>
          <w:sz w:val="24"/>
        </w:rPr>
        <w:drawing>
          <wp:inline distT="0" distB="0" distL="114300" distR="114300">
            <wp:extent cx="5942330" cy="3282315"/>
            <wp:effectExtent l="0" t="0" r="1270" b="13335"/>
            <wp:docPr id="43" name="图片 23" descr="PUJ~(]K_T1]}Q]`(]H7DT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PUJ~(]K_T1]}Q]`(]H7DT_A"/>
                    <pic:cNvPicPr>
                      <a:picLocks noChangeAspect="1"/>
                    </pic:cNvPicPr>
                  </pic:nvPicPr>
                  <pic:blipFill>
                    <a:blip r:embed="rId35"/>
                    <a:stretch>
                      <a:fillRect/>
                    </a:stretch>
                  </pic:blipFill>
                  <pic:spPr>
                    <a:xfrm>
                      <a:off x="0" y="0"/>
                      <a:ext cx="5942330" cy="3282315"/>
                    </a:xfrm>
                    <a:prstGeom prst="rect">
                      <a:avLst/>
                    </a:prstGeom>
                    <a:noFill/>
                    <a:ln w="9525">
                      <a:noFill/>
                    </a:ln>
                  </pic:spPr>
                </pic:pic>
              </a:graphicData>
            </a:graphic>
          </wp:inline>
        </w:drawing>
      </w:r>
      <w:r>
        <w:rPr>
          <w:rFonts w:hint="eastAsia" w:ascii="新宋体" w:hAnsi="新宋体" w:eastAsia="新宋体" w:cs="新宋体"/>
          <w:kern w:val="0"/>
          <w:sz w:val="24"/>
        </w:rPr>
        <w:fldChar w:fldCharType="end"/>
      </w:r>
    </w:p>
    <w:p>
      <w:pPr>
        <w:jc w:val="cente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图19   岸边沉船围控示意图</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先了解沉船的具体位置，防止作业船舶触碰沉船，引起其他事故；</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了解沉船的具体情况，如船长、船宽、船舶所载的货物、船舶所用的燃料等相关情况，制定应急清污方案；</w:t>
      </w:r>
    </w:p>
    <w:p>
      <w:pPr>
        <w:rPr>
          <w:rFonts w:hint="eastAsia" w:ascii="新宋体" w:hAnsi="新宋体" w:eastAsia="新宋体" w:cs="新宋体"/>
        </w:rPr>
      </w:pPr>
      <w:r>
        <w:rPr>
          <w:rFonts w:hint="eastAsia" w:ascii="新宋体" w:hAnsi="新宋体" w:eastAsia="新宋体" w:cs="新宋体"/>
        </w:rPr>
        <mc:AlternateContent>
          <mc:Choice Requires="wps">
            <w:drawing>
              <wp:anchor distT="0" distB="0" distL="114300" distR="114300" simplePos="0" relativeHeight="251659264" behindDoc="0" locked="0" layoutInCell="1" allowOverlap="1">
                <wp:simplePos x="0" y="0"/>
                <wp:positionH relativeFrom="column">
                  <wp:posOffset>1828800</wp:posOffset>
                </wp:positionH>
                <wp:positionV relativeFrom="paragraph">
                  <wp:posOffset>2130425</wp:posOffset>
                </wp:positionV>
                <wp:extent cx="2400300" cy="346075"/>
                <wp:effectExtent l="4445" t="4445" r="14605" b="11430"/>
                <wp:wrapNone/>
                <wp:docPr id="44" name="矩形 3"/>
                <wp:cNvGraphicFramePr/>
                <a:graphic xmlns:a="http://schemas.openxmlformats.org/drawingml/2006/main">
                  <a:graphicData uri="http://schemas.microsoft.com/office/word/2010/wordprocessingShape">
                    <wps:wsp>
                      <wps:cNvSpPr/>
                      <wps:spPr>
                        <a:xfrm>
                          <a:off x="0" y="0"/>
                          <a:ext cx="2400300" cy="346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155" w:firstLineChars="550"/>
                              <w:rPr>
                                <w:rFonts w:hint="eastAsia"/>
                              </w:rPr>
                            </w:pPr>
                            <w:r>
                              <w:rPr>
                                <w:rFonts w:hint="eastAsia"/>
                              </w:rPr>
                              <w:t>沉船位置</w:t>
                            </w:r>
                          </w:p>
                        </w:txbxContent>
                      </wps:txbx>
                      <wps:bodyPr upright="1"/>
                    </wps:wsp>
                  </a:graphicData>
                </a:graphic>
              </wp:anchor>
            </w:drawing>
          </mc:Choice>
          <mc:Fallback>
            <w:pict>
              <v:rect id="矩形 3" o:spid="_x0000_s1026" o:spt="1" style="position:absolute;left:0pt;margin-left:144pt;margin-top:167.75pt;height:27.25pt;width:189pt;z-index:251659264;mso-width-relative:page;mso-height-relative:page;" fillcolor="#FFFFFF" filled="t" stroked="t" coordsize="21600,21600" o:gfxdata="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kt+PH&#10;2QAAAAsBAAAPAAAAAAAAAAEAIAAAACIAAABkcnMvZG93bnJldi54bWxQSwECFAAUAAAACACHTuJA&#10;CXuO+OcBAADcAwAADgAAAAAAAAABACAAAAAoAQAAZHJzL2Uyb0RvYy54bWxQSwUGAAAAAAYABgBZ&#10;AQAAgQUAAAAA&#10;">
                <v:fill on="t" focussize="0,0"/>
                <v:stroke color="#000000" joinstyle="miter"/>
                <v:imagedata o:title=""/>
                <o:lock v:ext="edit" aspectratio="f"/>
                <v:textbox>
                  <w:txbxContent>
                    <w:p>
                      <w:pPr>
                        <w:ind w:firstLine="1155" w:firstLineChars="550"/>
                        <w:rPr>
                          <w:rFonts w:hint="eastAsia"/>
                        </w:rPr>
                      </w:pPr>
                      <w:r>
                        <w:rPr>
                          <w:rFonts w:hint="eastAsia"/>
                        </w:rPr>
                        <w:t>沉船位置</w:t>
                      </w:r>
                    </w:p>
                  </w:txbxContent>
                </v:textbox>
              </v:rect>
            </w:pict>
          </mc:Fallback>
        </mc:AlternateContent>
      </w:r>
      <w:r>
        <w:rPr>
          <w:rFonts w:hint="eastAsia" w:ascii="新宋体" w:hAnsi="新宋体" w:eastAsia="新宋体" w:cs="新宋体"/>
        </w:rPr>
        <w:drawing>
          <wp:inline distT="0" distB="0" distL="114300" distR="114300">
            <wp:extent cx="5257800" cy="3028950"/>
            <wp:effectExtent l="0" t="0" r="0" b="0"/>
            <wp:docPr id="45" name="图片 24" descr="布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descr="布控图"/>
                    <pic:cNvPicPr>
                      <a:picLocks noChangeAspect="1"/>
                    </pic:cNvPicPr>
                  </pic:nvPicPr>
                  <pic:blipFill>
                    <a:blip r:embed="rId36"/>
                    <a:stretch>
                      <a:fillRect/>
                    </a:stretch>
                  </pic:blipFill>
                  <pic:spPr>
                    <a:xfrm>
                      <a:off x="0" y="0"/>
                      <a:ext cx="5257800" cy="3028950"/>
                    </a:xfrm>
                    <a:prstGeom prst="rect">
                      <a:avLst/>
                    </a:prstGeom>
                    <a:noFill/>
                    <a:ln w="9525">
                      <a:noFill/>
                    </a:ln>
                  </pic:spPr>
                </pic:pic>
              </a:graphicData>
            </a:graphic>
          </wp:inline>
        </w:drawing>
      </w:r>
    </w:p>
    <w:p>
      <w:pPr>
        <w:jc w:val="center"/>
        <w:rPr>
          <w:rFonts w:hint="eastAsia" w:ascii="新宋体" w:hAnsi="新宋体" w:eastAsia="新宋体" w:cs="新宋体"/>
          <w:color w:val="000000"/>
          <w:sz w:val="28"/>
          <w:szCs w:val="28"/>
        </w:rPr>
      </w:pPr>
      <w:r>
        <w:rPr>
          <w:rFonts w:hint="eastAsia" w:ascii="新宋体" w:hAnsi="新宋体" w:eastAsia="新宋体" w:cs="新宋体"/>
        </w:rPr>
        <w:t>图20   沉船围控方案示意图</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根据沉船的情况，在沉船的外围布放围油栏，防止沉船中的燃油、机油及污油水溢出；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如果沉船中的燃油量较大时，应布放两道围油栏，或一道吸油拖栏；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对沉船中溢出的油的处理，溢出的油量大时，可布放撇油器进行收油；如溢出的量不大，可投放吸油毡吸油；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 在沉船周围进行值守，防止其他船舶误入沉船区域；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 在打捞沉船时，将围控范围扩大，便于沉船打捞作业；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 在沉船打捞上来后，必要时，清污作业船拖带围油栏在打捞船周围布防，直到打捞船将沉船送到目的地；</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 将沉船打捞后的垃圾及时装入垃圾袋，送相关处理单位进行无害化处理。</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5.5船舶发生碰撞后的应急清污作业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先了解船舶碰撞的具体方位、碰撞的具体情况，如船长、船宽、船舶所载的货物、船舶所用的燃料等相关情况，制定应急清污方案；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根据船舶碰撞的情况，为预防船舶碰撞后，发生沉船或火灾爆炸事件，应急清污船舶和人员应在船舶碰撞约1000米开外的水域围布放围油栏，防止沉船中的燃油、机油及污油水溢出；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如果船舶碰撞后的溢油量较大时，应布放两道围油栏，或一道吸油拖栏；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 对碰撞船中溢出的油的处理，溢出的油量大时，可布放撇油器进行收油；如溢出的量不大，可投放吸油毡吸油；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 在碰撞船舶周围进行值守，防止其他船舶误入碰撞区域；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 在拖轮来拖碰撞船时，将围控范围扩大，便于拖轮作业；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 清污作业船拖带围油栏在拖轮和碰撞船周围布防，直到拖轮将碰撞船送到目的地；</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 将碰撞船的油垃圾及时装入垃圾袋，送相关处理单位进行无害化处理。</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6污染清除作业安全方案</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6.1污染物的危险特性</w:t>
      </w:r>
    </w:p>
    <w:p>
      <w:pPr>
        <w:ind w:firstLine="560" w:firstLineChars="200"/>
        <w:jc w:val="left"/>
        <w:rPr>
          <w:rFonts w:hint="eastAsia" w:ascii="新宋体" w:hAnsi="新宋体" w:eastAsia="新宋体" w:cs="新宋体"/>
          <w:sz w:val="28"/>
          <w:szCs w:val="28"/>
        </w:rPr>
      </w:pPr>
      <w:r>
        <w:rPr>
          <w:rFonts w:hint="eastAsia" w:ascii="新宋体" w:hAnsi="新宋体" w:eastAsia="新宋体" w:cs="新宋体"/>
          <w:sz w:val="28"/>
          <w:szCs w:val="28"/>
        </w:rPr>
        <w:t>油品不仅具有易燃易爆危险性，还具有一定的毒性，当其溢出后，涉及的安全问题是多方面的，既可能影响到个人，也可能影响到公共场所和社会群体，一旦处理不当，对应急作业人员的健康和公共安全都可能造成威胁。因此，在溢油应急作业中注意安全防护、采取相当的作业安全措施以及提供必要的安全保障是十分重要的。</w:t>
      </w:r>
    </w:p>
    <w:p>
      <w:pPr>
        <w:ind w:firstLine="560" w:firstLineChars="200"/>
        <w:jc w:val="left"/>
        <w:rPr>
          <w:rFonts w:hint="eastAsia" w:ascii="新宋体" w:hAnsi="新宋体" w:eastAsia="新宋体" w:cs="新宋体"/>
          <w:sz w:val="28"/>
          <w:szCs w:val="28"/>
        </w:rPr>
      </w:pPr>
      <w:r>
        <w:rPr>
          <w:rFonts w:hint="eastAsia" w:ascii="新宋体" w:hAnsi="新宋体" w:eastAsia="新宋体" w:cs="新宋体"/>
          <w:sz w:val="28"/>
          <w:szCs w:val="28"/>
        </w:rPr>
        <w:t>危险化学品可能具有毒性，可通过呼吸道、皮肤、消化道、眼睛对人体产生危害，有的危险化学品具有腐蚀性，可腐蚀人体和物体，多数危险品还具有易燃易爆危险性。</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6.2污染物清除作业个人安全方案</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6.2.1个人安全及防护</w:t>
      </w:r>
    </w:p>
    <w:p>
      <w:pPr>
        <w:ind w:firstLine="560" w:firstLineChars="200"/>
        <w:jc w:val="left"/>
        <w:rPr>
          <w:rFonts w:hint="eastAsia" w:ascii="新宋体" w:hAnsi="新宋体" w:eastAsia="新宋体" w:cs="新宋体"/>
          <w:b/>
          <w:color w:val="000000"/>
          <w:sz w:val="28"/>
          <w:szCs w:val="28"/>
        </w:rPr>
      </w:pPr>
      <w:r>
        <w:rPr>
          <w:rFonts w:hint="eastAsia" w:ascii="新宋体" w:hAnsi="新宋体" w:eastAsia="新宋体" w:cs="新宋体"/>
          <w:sz w:val="28"/>
          <w:szCs w:val="28"/>
        </w:rPr>
        <w:t>安全防护是保障污染应急作业人员健康和安全的必要措施。要做好这一点，污染应急组织者和应急作业人员，都要具有较强的安全意识，认识应急作业每一个环节的潜在危险，并掌握避免这种危险的相关知识，采取预防性措施。对于污染应急作业人员来说，至少要做好如下几个方面的防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（1）听力保护，长时间在产生噪音的机器旁工作时，应戴上耳塞</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（2）头部保护，在作业的全过程都应戴安全帽，以防坠落物件砸伤头部或因头部撞到硬物上造成伤害</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（3）眼睛保护，在所有的工作场所都要带上合适的防护眼镜，防止各种作业对眼睛造成伤害</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（4）佩戴呼吸器或口罩，防止油蒸气的吸入</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（5）佩戴防油手套，防止溢油的接触危害，减少皮肤的暴露和磨损。</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（6）保护靴，通常以带有纹理底并在足趾处带有刚性支撑的橡胶靴，可以防滑、耐油、防止砸伤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（7）穿着带有阻油层的衣服，防止油渗透污染</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（8）作业人员必须穿上救生衣</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（9）天气寒冷时，应穿上防寒服</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（10）意外伤害应急措施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①油蒸气中毒</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a.立即将中毒人员撤离作业区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b.严重中毒人员立即送医院急救</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②皮肤擦伤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a.对擦伤处进行清洗包扎</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b.将擦伤人员撤离作业区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c.对严重擦伤人员立即送医院治疗</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③油溅入眼睛</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a.用清水清洗眼睛</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b.用眼药水滴眼，防止眼睛发炎</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c.将眼伤人员送医院治疗</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6.2.2作业安全</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6.2.2.1防止溢油对人体伤害的应急措施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6.2.2.2.1溢油初期，石油蒸气比空气重，并会流动聚集在低洼的地方，油气浓度较高时，作业人员应在上风处作业，如溢油是轻组分很高的油类，作业人员应佩戴呼吸器；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6.2.2.2.2如溢油的油类闪点很低，油气很浓，地点又比较密闭时，作业人员不能贸然进入作业区，以防中毒和火灾</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6.2.2.2.3不能用汽油作为清洗剂。如果皮肤上沾上油，要用肥皂或去油的清洗液清洗</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6.2.2.2.4应急过程中，用餐前必须洗手，降低有毒物质的风险</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6.2.2.2.5处理风化油时，应戴手套等防护器具，避免油沾到皮肤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6.2.2.2.6喷洒分散剂时，作业人员应处在上风，带口罩，避免分散剂进入呼吸道</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6.2.2.2.7作业人员在应急全过程必须穿防静电的工作服，救生衣，佩戴防护镜，防滑靴，防油手套等</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6.2.2.2火灾和爆炸危险的防范措施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6.2.2.2.1作业人员进入现场前，总指挥应了解溢油的相关参数，并对火灾或爆炸的潜在危险进行评估</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6.2.2.2.2经确认无火灾、无爆炸时，作业人员才能进入现场</w:t>
      </w:r>
    </w:p>
    <w:p>
      <w:pPr>
        <w:rPr>
          <w:rFonts w:hint="eastAsia" w:ascii="新宋体" w:hAnsi="新宋体" w:eastAsia="新宋体" w:cs="新宋体"/>
          <w:b/>
          <w:color w:val="000000"/>
          <w:sz w:val="28"/>
          <w:szCs w:val="28"/>
        </w:rPr>
      </w:pPr>
      <w:r>
        <w:rPr>
          <w:rFonts w:hint="eastAsia" w:ascii="新宋体" w:hAnsi="新宋体" w:eastAsia="新宋体" w:cs="新宋体"/>
          <w:color w:val="000000"/>
          <w:sz w:val="28"/>
          <w:szCs w:val="28"/>
        </w:rPr>
        <w:t>6.2.2.2.3作业区域存在易燃易爆气体时，</w:t>
      </w:r>
      <w:r>
        <w:rPr>
          <w:rFonts w:hint="eastAsia" w:ascii="新宋体" w:hAnsi="新宋体" w:eastAsia="新宋体" w:cs="新宋体"/>
          <w:b/>
          <w:color w:val="000000"/>
          <w:sz w:val="28"/>
          <w:szCs w:val="28"/>
        </w:rPr>
        <w:t>特别注意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（1）不得有明火；</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（2）不得使用非防爆电器，不得拍照或录像；</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（3）不得使用非防爆通讯设备；</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（4）不得使用汽油机械；</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（5）作业人员应穿着防静电服；</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（6）不得使用铁器等容易碰撞出火星的器具；</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（7）作业船舶应关闭门窗，船上不得生火做饭。</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6.2.2.3溢油围控与回收作业的安全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6.2.2.3.1作业人员应严格按照操作规程进行作业；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6.2.2.3.2作业人员应按规定穿戴安全防护装备，如防护手套、防护镜、安全帽、呼吸器、防滑靴、防静电服、救生衣等；</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6.2.2.3.3作业人员应保持良好的通讯；</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6.2.2.3.4 布放围油栏时，防止人员掉入海中或拉伤；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6.2.2.3.5 布放和收回撇油器时，注意不要被撇油器碰伤和带人海中；</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6.2.2.3.6作业人员与泵浦保持一定的距离；</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6.2.2.3.7 作业甲板上不要乱扔杂物，防止人员绊倒摔伤；</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6.2.2.3.8作业甲板上有油时，应立即擦干净，防止人员滑倒。</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6.2.2.4分散剂喷洒时危险防范措施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6.2.2.4.1 作业人员穿戴工作服、救生衣、防护眼镜、手套、防滑靴；必要时，须戴上呼吸面罩；</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6.2.2.4.2喷洒作业后，要用肥皂洗净手和脸，饭前要洗手和脸；</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6.2.2.4.3 喷洒前要看清使用说明，应严格按说明操作。</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6.2.2.5岸线作业时危害防范措施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6.2.2.5.1 设置一名或几名安全观察员，一名观察员负责20名以下的作业的安全；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6.2.2.5.2 因岸线小鹅卵石或鹅卵石海滨凸凹不平，而且光滑，作业人员应穿着防滑水靴；</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6.2.2.5.3 安全观察员应经常提醒在悬崖、沼泽地和泥泞的海岸线工作的作业人员，注意身旁或脚下；</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6.2.2.5.4如果作业人员从悬崖顶部开始清除作业，应系牢安全绳；</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6.2.2.5.5在水中作业时，作业人员一定要穿好救生衣，保持警惕，不得单独行动；</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6.2.2.5.6 岸线清除作业前，指挥人员必须向作业人员讲解作业计划和安全规范要求；要求作业人员在水中作业时，发现任何异常情况都不能贸然独自行动，必须在第一时间向领导报告。</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7车辆作业的安全方案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7.1任何进入现场的车辆应熟知行车路线和目的地，司机应有相应的地图或说明</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7.2负责后勤保障人员应与司机保持联系</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7.3在作业区域标明行车路线，夜间标志应明显可见</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7.4车辆行驶区域不能被油污染，防止车辆侧滑</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7.5临时储存污油水的坑周围应设有围堰和明显标识，防止车辆误入</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7.6夜间作业，应配备足够的照明</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7.7作业人员应佩穿反光衣，以便被发现</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7.8发生人员受伤事故，旁边的工作人员应该知道如何寻求帮助</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8恶劣气候条件下作业的安全方案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8.1特殊条件下的防护装备</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8.2准备充足的饮料、食品和药品</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8.3合理安排任务</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8.4合理安排休息时间和场所</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8.5指挥人员必须了解现场作业人员的情况，并保持清污作业组织层次的沟通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8.6注意最新的天气预报</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9安全保障方案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9.1作业前，指挥人员应向应急作业人员讲解作业计划、作业方案和安全规定；应急作业人员应听从指挥，严格按照作业程序和设备操作规程进行作业</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9.2后勤保障</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9.2.1提供必要的安全设备，包括安全防护装备、必备的食物和药品、临时休息的场所、消防设施、保护和清洁眼睛和身体的设施</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9.2.2建立和医疗急救部门的联系，一旦发生事故，能立即得到援助</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9.3强调应急作业组织的责任，明确指挥人员的权利，要求应急作业人员一切行动听指挥</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9.4应急行动前，指挥人员应识别应急行动中的风险，并预先安排预防风险的措施，保证应急行动正常开展</w:t>
      </w:r>
    </w:p>
    <w:p>
      <w:pPr>
        <w:rPr>
          <w:rFonts w:hint="eastAsia" w:ascii="新宋体" w:hAnsi="新宋体" w:eastAsia="新宋体" w:cs="新宋体"/>
          <w:b/>
          <w:color w:val="000000"/>
          <w:sz w:val="28"/>
          <w:szCs w:val="28"/>
        </w:rPr>
      </w:pPr>
      <w:r>
        <w:rPr>
          <w:rFonts w:hint="eastAsia" w:ascii="新宋体" w:hAnsi="新宋体" w:eastAsia="新宋体" w:cs="新宋体"/>
          <w:b/>
          <w:color w:val="000000"/>
          <w:sz w:val="28"/>
          <w:szCs w:val="28"/>
        </w:rPr>
        <w:t>10污染清除作业方案的编制、审批和修订管理</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10.1污染清除作业方案的编写、审核和批准</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10.1.1为了保证污染清除作业方案的充分性、适宜性以及可操作性，公司成立应急清污能力评级领导小组，由领导小组常务副组长领导负责污染清除作业方案的编写；由领导小组副组长负责对污染清除作业方案的审核，领导小组组长批准；（领导小组撤销后，由公司行政部接手负责方案的管理）。必要时，应报请海事管理部门批准。</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10.1.2污染清除作业方案编写的法律依据</w:t>
      </w:r>
    </w:p>
    <w:p>
      <w:pPr>
        <w:rPr>
          <w:rFonts w:hint="eastAsia" w:ascii="新宋体" w:hAnsi="新宋体" w:eastAsia="新宋体" w:cs="新宋体"/>
          <w:sz w:val="28"/>
          <w:szCs w:val="28"/>
        </w:rPr>
      </w:pPr>
      <w:r>
        <w:rPr>
          <w:rFonts w:hint="eastAsia" w:ascii="新宋体" w:hAnsi="新宋体" w:eastAsia="新宋体" w:cs="新宋体"/>
          <w:sz w:val="28"/>
          <w:szCs w:val="28"/>
        </w:rPr>
        <w:t>(1) 《中华人民共和国环境保护法》</w:t>
      </w:r>
    </w:p>
    <w:p>
      <w:pPr>
        <w:rPr>
          <w:rFonts w:hint="eastAsia" w:ascii="新宋体" w:hAnsi="新宋体" w:eastAsia="新宋体" w:cs="新宋体"/>
          <w:sz w:val="28"/>
          <w:szCs w:val="28"/>
        </w:rPr>
      </w:pPr>
      <w:r>
        <w:rPr>
          <w:rFonts w:hint="eastAsia" w:ascii="新宋体" w:hAnsi="新宋体" w:eastAsia="新宋体" w:cs="新宋体"/>
          <w:sz w:val="28"/>
          <w:szCs w:val="28"/>
        </w:rPr>
        <w:t>(2) 《中华人民共和国海洋环境保护法》</w:t>
      </w:r>
    </w:p>
    <w:p>
      <w:pPr>
        <w:rPr>
          <w:rFonts w:hint="eastAsia" w:ascii="新宋体" w:hAnsi="新宋体" w:eastAsia="新宋体" w:cs="新宋体"/>
          <w:sz w:val="28"/>
          <w:szCs w:val="28"/>
        </w:rPr>
      </w:pPr>
      <w:r>
        <w:rPr>
          <w:rFonts w:hint="eastAsia" w:ascii="新宋体" w:hAnsi="新宋体" w:eastAsia="新宋体" w:cs="新宋体"/>
          <w:sz w:val="28"/>
          <w:szCs w:val="28"/>
        </w:rPr>
        <w:t>(3)《中华人民共和国突发事件应对法》</w:t>
      </w:r>
    </w:p>
    <w:p>
      <w:pPr>
        <w:rPr>
          <w:rFonts w:hint="eastAsia" w:ascii="新宋体" w:hAnsi="新宋体" w:eastAsia="新宋体" w:cs="新宋体"/>
          <w:sz w:val="28"/>
          <w:szCs w:val="28"/>
        </w:rPr>
      </w:pPr>
      <w:r>
        <w:rPr>
          <w:rFonts w:hint="eastAsia" w:ascii="新宋体" w:hAnsi="新宋体" w:eastAsia="新宋体" w:cs="新宋体"/>
          <w:sz w:val="28"/>
          <w:szCs w:val="28"/>
        </w:rPr>
        <w:t>(4)《中华人民共和国海上交通安全法》</w:t>
      </w:r>
    </w:p>
    <w:p>
      <w:pPr>
        <w:rPr>
          <w:rFonts w:hint="eastAsia" w:ascii="新宋体" w:hAnsi="新宋体" w:eastAsia="新宋体" w:cs="新宋体"/>
          <w:sz w:val="28"/>
          <w:szCs w:val="28"/>
        </w:rPr>
      </w:pPr>
      <w:r>
        <w:rPr>
          <w:rFonts w:hint="eastAsia" w:ascii="新宋体" w:hAnsi="新宋体" w:eastAsia="新宋体" w:cs="新宋体"/>
          <w:sz w:val="28"/>
          <w:szCs w:val="28"/>
        </w:rPr>
        <w:t>(5) 《中华人民共和国防治船舶污染海洋环境管理条例》</w:t>
      </w:r>
    </w:p>
    <w:p>
      <w:pPr>
        <w:rPr>
          <w:rFonts w:hint="eastAsia" w:ascii="新宋体" w:hAnsi="新宋体" w:eastAsia="新宋体" w:cs="新宋体"/>
          <w:sz w:val="28"/>
          <w:szCs w:val="28"/>
        </w:rPr>
      </w:pPr>
      <w:r>
        <w:rPr>
          <w:rFonts w:hint="eastAsia" w:ascii="新宋体" w:hAnsi="新宋体" w:eastAsia="新宋体" w:cs="新宋体"/>
          <w:sz w:val="28"/>
          <w:szCs w:val="28"/>
        </w:rPr>
        <w:t>(6) 《中华人民共和国船舶污染海洋环境应急防备和应急处理管理规定》</w:t>
      </w:r>
    </w:p>
    <w:p>
      <w:pPr>
        <w:rPr>
          <w:rFonts w:hint="eastAsia" w:ascii="新宋体" w:hAnsi="新宋体" w:eastAsia="新宋体" w:cs="新宋体"/>
          <w:sz w:val="28"/>
          <w:szCs w:val="28"/>
        </w:rPr>
      </w:pPr>
      <w:r>
        <w:rPr>
          <w:rFonts w:hint="eastAsia" w:ascii="新宋体" w:hAnsi="新宋体" w:eastAsia="新宋体" w:cs="新宋体"/>
          <w:sz w:val="28"/>
          <w:szCs w:val="28"/>
        </w:rPr>
        <w:t>(7)《连云港市海上溢油应急预案》</w:t>
      </w:r>
    </w:p>
    <w:p>
      <w:pPr>
        <w:rPr>
          <w:rFonts w:hint="eastAsia" w:ascii="新宋体" w:hAnsi="新宋体" w:eastAsia="新宋体" w:cs="新宋体"/>
          <w:sz w:val="28"/>
          <w:szCs w:val="28"/>
        </w:rPr>
      </w:pPr>
      <w:r>
        <w:rPr>
          <w:rFonts w:hint="eastAsia" w:ascii="新宋体" w:hAnsi="新宋体" w:eastAsia="新宋体" w:cs="新宋体"/>
          <w:sz w:val="28"/>
          <w:szCs w:val="28"/>
        </w:rPr>
        <w:t>(8)《船舶污染清除单位应急清污能力评价导则（试行）》</w:t>
      </w:r>
    </w:p>
    <w:p>
      <w:pPr>
        <w:rPr>
          <w:rFonts w:hint="eastAsia" w:ascii="新宋体" w:hAnsi="新宋体" w:eastAsia="新宋体" w:cs="新宋体"/>
          <w:sz w:val="28"/>
          <w:szCs w:val="28"/>
        </w:rPr>
      </w:pPr>
      <w:r>
        <w:rPr>
          <w:rFonts w:hint="eastAsia" w:ascii="新宋体" w:hAnsi="新宋体" w:eastAsia="新宋体" w:cs="新宋体"/>
          <w:sz w:val="28"/>
          <w:szCs w:val="28"/>
        </w:rPr>
        <w:t>(9)《船舶污染清除协议管理制度实施细则》</w:t>
      </w:r>
    </w:p>
    <w:p>
      <w:pPr>
        <w:rPr>
          <w:rFonts w:hint="eastAsia" w:ascii="新宋体" w:hAnsi="新宋体" w:eastAsia="新宋体" w:cs="新宋体"/>
          <w:sz w:val="28"/>
          <w:szCs w:val="28"/>
        </w:rPr>
      </w:pPr>
      <w:r>
        <w:rPr>
          <w:rFonts w:hint="eastAsia" w:ascii="新宋体" w:hAnsi="新宋体" w:eastAsia="新宋体" w:cs="新宋体"/>
          <w:sz w:val="28"/>
          <w:szCs w:val="28"/>
        </w:rPr>
        <w:t>(10)《73/78国际防止船舶造成污染公约》</w:t>
      </w:r>
    </w:p>
    <w:p>
      <w:pPr>
        <w:rPr>
          <w:rFonts w:hint="eastAsia" w:ascii="新宋体" w:hAnsi="新宋体" w:eastAsia="新宋体" w:cs="新宋体"/>
          <w:sz w:val="28"/>
          <w:szCs w:val="28"/>
        </w:rPr>
      </w:pPr>
      <w:r>
        <w:rPr>
          <w:rFonts w:hint="eastAsia" w:ascii="新宋体" w:hAnsi="新宋体" w:eastAsia="新宋体" w:cs="新宋体"/>
          <w:sz w:val="28"/>
          <w:szCs w:val="28"/>
        </w:rPr>
        <w:t>(11)《1990年国际油污防备、反应和合作公约》</w:t>
      </w:r>
    </w:p>
    <w:p>
      <w:pPr>
        <w:rPr>
          <w:rFonts w:hint="eastAsia" w:ascii="新宋体" w:hAnsi="新宋体" w:eastAsia="新宋体" w:cs="新宋体"/>
          <w:sz w:val="28"/>
          <w:szCs w:val="28"/>
        </w:rPr>
      </w:pPr>
      <w:r>
        <w:rPr>
          <w:rFonts w:hint="eastAsia" w:ascii="新宋体" w:hAnsi="新宋体" w:eastAsia="新宋体" w:cs="新宋体"/>
          <w:sz w:val="28"/>
          <w:szCs w:val="28"/>
        </w:rPr>
        <w:t>(12)《1992年国际油污损害民事责任公约》</w:t>
      </w:r>
    </w:p>
    <w:p>
      <w:pPr>
        <w:rPr>
          <w:rFonts w:hint="eastAsia" w:ascii="新宋体" w:hAnsi="新宋体" w:eastAsia="新宋体" w:cs="新宋体"/>
          <w:sz w:val="28"/>
          <w:szCs w:val="28"/>
        </w:rPr>
      </w:pPr>
      <w:r>
        <w:rPr>
          <w:rFonts w:hint="eastAsia" w:ascii="新宋体" w:hAnsi="新宋体" w:eastAsia="新宋体" w:cs="新宋体"/>
          <w:sz w:val="28"/>
          <w:szCs w:val="28"/>
        </w:rPr>
        <w:t>(13)《2001年国际燃油污染损害民事责任公约》</w:t>
      </w:r>
    </w:p>
    <w:p>
      <w:pPr>
        <w:rPr>
          <w:rFonts w:hint="eastAsia" w:ascii="新宋体" w:hAnsi="新宋体" w:eastAsia="新宋体" w:cs="新宋体"/>
          <w:sz w:val="28"/>
          <w:szCs w:val="28"/>
        </w:rPr>
      </w:pPr>
      <w:r>
        <w:rPr>
          <w:rFonts w:hint="eastAsia" w:ascii="新宋体" w:hAnsi="新宋体" w:eastAsia="新宋体" w:cs="新宋体"/>
          <w:sz w:val="28"/>
          <w:szCs w:val="28"/>
        </w:rPr>
        <w:t>(14) 《连云港信海清污有限公司海上突发污染事件应急清污处置预案》</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10.2污染清除作业方案的修订</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10.2.1方案修订的时机</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 法律法规有新的规定时；</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(2) 公司的组织机构发生变化时；</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(3) 原订方案存在不合理的程序或前后相互矛盾的地方。</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10.2.2其他原因</w:t>
      </w:r>
    </w:p>
    <w:p>
      <w:pPr>
        <w:rPr>
          <w:rFonts w:hint="eastAsia" w:ascii="新宋体" w:hAnsi="新宋体" w:eastAsia="新宋体" w:cs="新宋体"/>
          <w:color w:val="000000"/>
          <w:sz w:val="28"/>
          <w:szCs w:val="28"/>
        </w:rPr>
      </w:pPr>
      <w:r>
        <w:rPr>
          <w:rFonts w:hint="eastAsia" w:ascii="新宋体" w:hAnsi="新宋体" w:eastAsia="新宋体" w:cs="新宋体"/>
          <w:color w:val="000000"/>
          <w:sz w:val="28"/>
          <w:szCs w:val="28"/>
        </w:rPr>
        <w:t>10.3方案的版本规定</w:t>
      </w:r>
    </w:p>
    <w:p>
      <w:r>
        <w:rPr>
          <w:rFonts w:hint="eastAsia" w:ascii="新宋体" w:hAnsi="新宋体" w:eastAsia="新宋体" w:cs="新宋体"/>
          <w:color w:val="000000"/>
          <w:sz w:val="28"/>
          <w:szCs w:val="28"/>
        </w:rPr>
        <w:t>版本按年份确定，如2011年制定的方案，版本号为2011.00；如在本年度进行了1次修订，版本号为2011.01；进行了N次修订，版本号为2011.N。</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auto"/>
    <w:pitch w:val="default"/>
    <w:sig w:usb0="00000000" w:usb1="00000000" w:usb2="00000000" w:usb3="00000000" w:csb0="2000019F" w:csb1="00000000"/>
  </w:font>
  <w:font w:name="Arial">
    <w:panose1 w:val="020B0604020202020204"/>
    <w:charset w:val="00"/>
    <w:family w:val="swiss"/>
    <w:pitch w:val="default"/>
    <w:sig w:usb0="E0002AFF" w:usb1="C0007843" w:usb2="00000009" w:usb3="00000000" w:csb0="400001FF" w:csb1="FFFF0000"/>
  </w:font>
  <w:font w:name="ˎ̥">
    <w:altName w:val="Times New Roman"/>
    <w:panose1 w:val="00000000000000000000"/>
    <w:charset w:val="00"/>
    <w:family w:val="roman"/>
    <w:pitch w:val="default"/>
    <w:sig w:usb0="00000000" w:usb1="00000000" w:usb2="00000000" w:usb3="00000000" w:csb0="00040001" w:csb1="00000000"/>
  </w:font>
  <w:font w:name="΢ȭхڢ, ڌ墬 Verdana">
    <w:altName w:val="宋体"/>
    <w:panose1 w:val="00000000000000000000"/>
    <w:charset w:val="86"/>
    <w:family w:val="roma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6">
    <w:pict>
      <v:shape id="0" type="#_x0000_t75" style="width:20px;height:20px" o:bullet="t">
        <v:imagedata r:id="rId1" o:title=""/>
      </v:shape>
    </w:pict>
  </w:numPicBullet>
  <w:numPicBullet w:numPicBulletId="4">
    <w:pict>
      <v:shape id="1" type="#_x0000_t75" style="width:20px;height:20px" o:bullet="t">
        <v:imagedata r:id="rId2" o:title=""/>
      </v:shape>
    </w:pict>
  </w:numPicBullet>
  <w:numPicBullet w:numPicBulletId="1">
    <w:pict>
      <v:shape id="2" type="#_x0000_t75" style="width:20px;height:20px" o:bullet="t">
        <v:imagedata r:id="rId3" o:title=""/>
      </v:shape>
    </w:pict>
  </w:numPicBullet>
  <w:numPicBullet w:numPicBulletId="2">
    <w:pict>
      <v:shape id="3" type="#_x0000_t75" style="width:20px;height:20px" o:bullet="t">
        <v:imagedata r:id="rId4" o:title=""/>
      </v:shape>
    </w:pict>
  </w:numPicBullet>
  <w:numPicBullet w:numPicBulletId="7">
    <w:pict>
      <v:shape id="4" type="#_x0000_t75" style="width:20px;height:20px" o:bullet="t">
        <v:imagedata r:id="rId5" o:title=""/>
      </v:shape>
    </w:pict>
  </w:numPicBullet>
  <w:numPicBullet w:numPicBulletId="5">
    <w:pict>
      <v:shape id="5" type="#_x0000_t75" style="width:20px;height:20px" o:bullet="t">
        <v:imagedata r:id="rId6" o:title=""/>
      </v:shape>
    </w:pict>
  </w:numPicBullet>
  <w:numPicBullet w:numPicBulletId="0">
    <w:pict>
      <v:shape id="6" type="#_x0000_t75" style="width:20px;height:20px" o:bullet="t">
        <v:imagedata r:id="rId7" o:title=""/>
      </v:shape>
    </w:pict>
  </w:numPicBullet>
  <w:numPicBullet w:numPicBulletId="8">
    <w:pict>
      <v:shape id="7" type="#_x0000_t75" style="width:20px;height:20px" o:bullet="t">
        <v:imagedata r:id="rId8" o:title=""/>
      </v:shape>
    </w:pict>
  </w:numPicBullet>
  <w:numPicBullet w:numPicBulletId="3">
    <w:pict>
      <v:shape id="8" type="#_x0000_t75" style="width:20px;height:20px" o:bullet="t">
        <v:imagedata r:id="rId9" o:title=""/>
      </v:shape>
    </w:pict>
  </w:numPicBullet>
  <w:abstractNum w:abstractNumId="0">
    <w:nsid w:val="00000002"/>
    <w:multiLevelType w:val="multilevel"/>
    <w:tmpl w:val="0000000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
    <w:nsid w:val="00000003"/>
    <w:multiLevelType w:val="multilevel"/>
    <w:tmpl w:val="0000000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00000004"/>
    <w:multiLevelType w:val="multilevel"/>
    <w:tmpl w:val="00000004"/>
    <w:lvl w:ilvl="0" w:tentative="0">
      <w:start w:val="6"/>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6"/>
    <w:multiLevelType w:val="multilevel"/>
    <w:tmpl w:val="00000006"/>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7"/>
    <w:multiLevelType w:val="multilevel"/>
    <w:tmpl w:val="00000007"/>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5">
    <w:nsid w:val="0000000A"/>
    <w:multiLevelType w:val="multilevel"/>
    <w:tmpl w:val="0000000A"/>
    <w:lvl w:ilvl="0" w:tentative="0">
      <w:start w:val="1"/>
      <w:numFmt w:val="bullet"/>
      <w:lvlText w:val=""/>
      <w:lvlPicBulletId w:val="0"/>
      <w:lvlJc w:val="left"/>
      <w:pPr>
        <w:tabs>
          <w:tab w:val="left" w:pos="720"/>
        </w:tabs>
        <w:ind w:left="720" w:hanging="360"/>
      </w:pPr>
      <w:rPr>
        <w:rFonts w:hint="default" w:ascii="Symbol" w:hAnsi="Symbol"/>
      </w:rPr>
    </w:lvl>
    <w:lvl w:ilvl="1" w:tentative="0">
      <w:start w:val="1"/>
      <w:numFmt w:val="bullet"/>
      <w:lvlText w:val=""/>
      <w:lvlPicBulletId w:val="1"/>
      <w:lvlJc w:val="left"/>
      <w:pPr>
        <w:tabs>
          <w:tab w:val="left" w:pos="1440"/>
        </w:tabs>
        <w:ind w:left="1440" w:hanging="360"/>
      </w:pPr>
      <w:rPr>
        <w:rFonts w:hint="default" w:ascii="Symbol" w:hAnsi="Symbol"/>
      </w:rPr>
    </w:lvl>
    <w:lvl w:ilvl="2" w:tentative="0">
      <w:start w:val="1"/>
      <w:numFmt w:val="bullet"/>
      <w:lvlText w:val=""/>
      <w:lvlPicBulletId w:val="2"/>
      <w:lvlJc w:val="left"/>
      <w:pPr>
        <w:tabs>
          <w:tab w:val="left" w:pos="2160"/>
        </w:tabs>
        <w:ind w:left="2160" w:hanging="360"/>
      </w:pPr>
      <w:rPr>
        <w:rFonts w:hint="default" w:ascii="Symbol" w:hAnsi="Symbol"/>
      </w:rPr>
    </w:lvl>
    <w:lvl w:ilvl="3" w:tentative="0">
      <w:start w:val="1"/>
      <w:numFmt w:val="bullet"/>
      <w:lvlText w:val=""/>
      <w:lvlPicBulletId w:val="3"/>
      <w:lvlJc w:val="left"/>
      <w:pPr>
        <w:tabs>
          <w:tab w:val="left" w:pos="2880"/>
        </w:tabs>
        <w:ind w:left="2880" w:hanging="360"/>
      </w:pPr>
      <w:rPr>
        <w:rFonts w:hint="default" w:ascii="Symbol" w:hAnsi="Symbol"/>
      </w:rPr>
    </w:lvl>
    <w:lvl w:ilvl="4" w:tentative="0">
      <w:start w:val="1"/>
      <w:numFmt w:val="bullet"/>
      <w:lvlText w:val=""/>
      <w:lvlPicBulletId w:val="4"/>
      <w:lvlJc w:val="left"/>
      <w:pPr>
        <w:tabs>
          <w:tab w:val="left" w:pos="3600"/>
        </w:tabs>
        <w:ind w:left="3600" w:hanging="360"/>
      </w:pPr>
      <w:rPr>
        <w:rFonts w:hint="default" w:ascii="Symbol" w:hAnsi="Symbol"/>
      </w:rPr>
    </w:lvl>
    <w:lvl w:ilvl="5" w:tentative="0">
      <w:start w:val="1"/>
      <w:numFmt w:val="bullet"/>
      <w:lvlText w:val=""/>
      <w:lvlPicBulletId w:val="5"/>
      <w:lvlJc w:val="left"/>
      <w:pPr>
        <w:tabs>
          <w:tab w:val="left" w:pos="4320"/>
        </w:tabs>
        <w:ind w:left="4320" w:hanging="360"/>
      </w:pPr>
      <w:rPr>
        <w:rFonts w:hint="default" w:ascii="Symbol" w:hAnsi="Symbol"/>
      </w:rPr>
    </w:lvl>
    <w:lvl w:ilvl="6" w:tentative="0">
      <w:start w:val="1"/>
      <w:numFmt w:val="bullet"/>
      <w:lvlText w:val=""/>
      <w:lvlPicBulletId w:val="6"/>
      <w:lvlJc w:val="left"/>
      <w:pPr>
        <w:tabs>
          <w:tab w:val="left" w:pos="5040"/>
        </w:tabs>
        <w:ind w:left="5040" w:hanging="360"/>
      </w:pPr>
      <w:rPr>
        <w:rFonts w:hint="default" w:ascii="Symbol" w:hAnsi="Symbol"/>
      </w:rPr>
    </w:lvl>
    <w:lvl w:ilvl="7" w:tentative="0">
      <w:start w:val="1"/>
      <w:numFmt w:val="bullet"/>
      <w:lvlText w:val=""/>
      <w:lvlPicBulletId w:val="7"/>
      <w:lvlJc w:val="left"/>
      <w:pPr>
        <w:tabs>
          <w:tab w:val="left" w:pos="5760"/>
        </w:tabs>
        <w:ind w:left="5760" w:hanging="360"/>
      </w:pPr>
      <w:rPr>
        <w:rFonts w:hint="default" w:ascii="Symbol" w:hAnsi="Symbol"/>
      </w:rPr>
    </w:lvl>
    <w:lvl w:ilvl="8" w:tentative="0">
      <w:start w:val="1"/>
      <w:numFmt w:val="bullet"/>
      <w:lvlText w:val=""/>
      <w:lvlPicBulletId w:val="8"/>
      <w:lvlJc w:val="left"/>
      <w:pPr>
        <w:tabs>
          <w:tab w:val="left" w:pos="6480"/>
        </w:tabs>
        <w:ind w:left="6480" w:hanging="360"/>
      </w:pPr>
      <w:rPr>
        <w:rFonts w:hint="default" w:ascii="Symbol" w:hAnsi="Symbol"/>
      </w:rPr>
    </w:lvl>
  </w:abstractNum>
  <w:abstractNum w:abstractNumId="6">
    <w:nsid w:val="0000000B"/>
    <w:multiLevelType w:val="multilevel"/>
    <w:tmpl w:val="0000000B"/>
    <w:lvl w:ilvl="0" w:tentative="0">
      <w:start w:val="2"/>
      <w:numFmt w:val="decimal"/>
      <w:lvlText w:val="(%1)"/>
      <w:lvlJc w:val="left"/>
      <w:pPr>
        <w:tabs>
          <w:tab w:val="left" w:pos="930"/>
        </w:tabs>
        <w:ind w:left="930" w:hanging="360"/>
      </w:pPr>
      <w:rPr>
        <w:rFonts w:hint="default"/>
      </w:rPr>
    </w:lvl>
    <w:lvl w:ilvl="1" w:tentative="0">
      <w:start w:val="1"/>
      <w:numFmt w:val="lowerLetter"/>
      <w:lvlText w:val="%2)"/>
      <w:lvlJc w:val="left"/>
      <w:pPr>
        <w:tabs>
          <w:tab w:val="left" w:pos="1410"/>
        </w:tabs>
        <w:ind w:left="1410" w:hanging="420"/>
      </w:pPr>
    </w:lvl>
    <w:lvl w:ilvl="2" w:tentative="0">
      <w:start w:val="1"/>
      <w:numFmt w:val="lowerRoman"/>
      <w:lvlText w:val="%3."/>
      <w:lvlJc w:val="right"/>
      <w:pPr>
        <w:tabs>
          <w:tab w:val="left" w:pos="1830"/>
        </w:tabs>
        <w:ind w:left="1830" w:hanging="420"/>
      </w:pPr>
    </w:lvl>
    <w:lvl w:ilvl="3" w:tentative="0">
      <w:start w:val="1"/>
      <w:numFmt w:val="decimal"/>
      <w:lvlText w:val="%4."/>
      <w:lvlJc w:val="left"/>
      <w:pPr>
        <w:tabs>
          <w:tab w:val="left" w:pos="2250"/>
        </w:tabs>
        <w:ind w:left="2250" w:hanging="420"/>
      </w:pPr>
    </w:lvl>
    <w:lvl w:ilvl="4" w:tentative="0">
      <w:start w:val="1"/>
      <w:numFmt w:val="lowerLetter"/>
      <w:lvlText w:val="%5)"/>
      <w:lvlJc w:val="left"/>
      <w:pPr>
        <w:tabs>
          <w:tab w:val="left" w:pos="2670"/>
        </w:tabs>
        <w:ind w:left="2670" w:hanging="420"/>
      </w:pPr>
    </w:lvl>
    <w:lvl w:ilvl="5" w:tentative="0">
      <w:start w:val="1"/>
      <w:numFmt w:val="lowerRoman"/>
      <w:lvlText w:val="%6."/>
      <w:lvlJc w:val="right"/>
      <w:pPr>
        <w:tabs>
          <w:tab w:val="left" w:pos="3090"/>
        </w:tabs>
        <w:ind w:left="3090" w:hanging="420"/>
      </w:pPr>
    </w:lvl>
    <w:lvl w:ilvl="6" w:tentative="0">
      <w:start w:val="1"/>
      <w:numFmt w:val="decimal"/>
      <w:lvlText w:val="%7."/>
      <w:lvlJc w:val="left"/>
      <w:pPr>
        <w:tabs>
          <w:tab w:val="left" w:pos="3510"/>
        </w:tabs>
        <w:ind w:left="3510" w:hanging="420"/>
      </w:pPr>
    </w:lvl>
    <w:lvl w:ilvl="7" w:tentative="0">
      <w:start w:val="1"/>
      <w:numFmt w:val="lowerLetter"/>
      <w:lvlText w:val="%8)"/>
      <w:lvlJc w:val="left"/>
      <w:pPr>
        <w:tabs>
          <w:tab w:val="left" w:pos="3930"/>
        </w:tabs>
        <w:ind w:left="3930" w:hanging="420"/>
      </w:pPr>
    </w:lvl>
    <w:lvl w:ilvl="8" w:tentative="0">
      <w:start w:val="1"/>
      <w:numFmt w:val="lowerRoman"/>
      <w:lvlText w:val="%9."/>
      <w:lvlJc w:val="right"/>
      <w:pPr>
        <w:tabs>
          <w:tab w:val="left" w:pos="4350"/>
        </w:tabs>
        <w:ind w:left="4350" w:hanging="420"/>
      </w:pPr>
    </w:lvl>
  </w:abstractNum>
  <w:abstractNum w:abstractNumId="7">
    <w:nsid w:val="0000000D"/>
    <w:multiLevelType w:val="multilevel"/>
    <w:tmpl w:val="0000000D"/>
    <w:lvl w:ilvl="0" w:tentative="0">
      <w:start w:val="1"/>
      <w:numFmt w:val="decimal"/>
      <w:lvlText w:val="(%1)"/>
      <w:lvlJc w:val="left"/>
      <w:pPr>
        <w:tabs>
          <w:tab w:val="left" w:pos="1290"/>
        </w:tabs>
        <w:ind w:left="1290" w:hanging="720"/>
      </w:pPr>
      <w:rPr>
        <w:rFonts w:ascii="Times New Roman" w:hAnsi="Times New Roman" w:eastAsia="Times New Roman" w:cs="Times New Roman"/>
      </w:rPr>
    </w:lvl>
    <w:lvl w:ilvl="1" w:tentative="0">
      <w:start w:val="1"/>
      <w:numFmt w:val="lowerLetter"/>
      <w:lvlText w:val="%2)"/>
      <w:lvlJc w:val="left"/>
      <w:pPr>
        <w:tabs>
          <w:tab w:val="left" w:pos="1410"/>
        </w:tabs>
        <w:ind w:left="1410" w:hanging="420"/>
      </w:pPr>
    </w:lvl>
    <w:lvl w:ilvl="2" w:tentative="0">
      <w:start w:val="1"/>
      <w:numFmt w:val="lowerRoman"/>
      <w:lvlText w:val="%3."/>
      <w:lvlJc w:val="right"/>
      <w:pPr>
        <w:tabs>
          <w:tab w:val="left" w:pos="1830"/>
        </w:tabs>
        <w:ind w:left="1830" w:hanging="420"/>
      </w:pPr>
    </w:lvl>
    <w:lvl w:ilvl="3" w:tentative="0">
      <w:start w:val="1"/>
      <w:numFmt w:val="decimal"/>
      <w:lvlText w:val="%4."/>
      <w:lvlJc w:val="left"/>
      <w:pPr>
        <w:tabs>
          <w:tab w:val="left" w:pos="2250"/>
        </w:tabs>
        <w:ind w:left="2250" w:hanging="420"/>
      </w:pPr>
    </w:lvl>
    <w:lvl w:ilvl="4" w:tentative="0">
      <w:start w:val="1"/>
      <w:numFmt w:val="lowerLetter"/>
      <w:lvlText w:val="%5)"/>
      <w:lvlJc w:val="left"/>
      <w:pPr>
        <w:tabs>
          <w:tab w:val="left" w:pos="2670"/>
        </w:tabs>
        <w:ind w:left="2670" w:hanging="420"/>
      </w:pPr>
    </w:lvl>
    <w:lvl w:ilvl="5" w:tentative="0">
      <w:start w:val="1"/>
      <w:numFmt w:val="lowerRoman"/>
      <w:lvlText w:val="%6."/>
      <w:lvlJc w:val="right"/>
      <w:pPr>
        <w:tabs>
          <w:tab w:val="left" w:pos="3090"/>
        </w:tabs>
        <w:ind w:left="3090" w:hanging="420"/>
      </w:pPr>
    </w:lvl>
    <w:lvl w:ilvl="6" w:tentative="0">
      <w:start w:val="1"/>
      <w:numFmt w:val="decimal"/>
      <w:lvlText w:val="%7."/>
      <w:lvlJc w:val="left"/>
      <w:pPr>
        <w:tabs>
          <w:tab w:val="left" w:pos="3510"/>
        </w:tabs>
        <w:ind w:left="3510" w:hanging="420"/>
      </w:pPr>
    </w:lvl>
    <w:lvl w:ilvl="7" w:tentative="0">
      <w:start w:val="1"/>
      <w:numFmt w:val="lowerLetter"/>
      <w:lvlText w:val="%8)"/>
      <w:lvlJc w:val="left"/>
      <w:pPr>
        <w:tabs>
          <w:tab w:val="left" w:pos="3930"/>
        </w:tabs>
        <w:ind w:left="3930" w:hanging="420"/>
      </w:pPr>
    </w:lvl>
    <w:lvl w:ilvl="8" w:tentative="0">
      <w:start w:val="1"/>
      <w:numFmt w:val="lowerRoman"/>
      <w:lvlText w:val="%9."/>
      <w:lvlJc w:val="right"/>
      <w:pPr>
        <w:tabs>
          <w:tab w:val="left" w:pos="4350"/>
        </w:tabs>
        <w:ind w:left="4350" w:hanging="420"/>
      </w:pPr>
    </w:lvl>
  </w:abstractNum>
  <w:abstractNum w:abstractNumId="8">
    <w:nsid w:val="00000012"/>
    <w:multiLevelType w:val="multilevel"/>
    <w:tmpl w:val="0000001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00000013"/>
    <w:multiLevelType w:val="multilevel"/>
    <w:tmpl w:val="00000013"/>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0">
    <w:nsid w:val="00000014"/>
    <w:multiLevelType w:val="multilevel"/>
    <w:tmpl w:val="00000014"/>
    <w:lvl w:ilvl="0" w:tentative="0">
      <w:start w:val="1"/>
      <w:numFmt w:val="decimal"/>
      <w:pStyle w:val="2"/>
      <w:lvlText w:val="%1."/>
      <w:legacy w:legacy="1" w:legacySpace="0" w:legacyIndent="708"/>
      <w:lvlJc w:val="left"/>
      <w:pPr>
        <w:ind w:left="708" w:hanging="708"/>
      </w:pPr>
    </w:lvl>
    <w:lvl w:ilvl="1" w:tentative="0">
      <w:start w:val="1"/>
      <w:numFmt w:val="decimal"/>
      <w:pStyle w:val="3"/>
      <w:lvlText w:val="%1.%2."/>
      <w:legacy w:legacy="1" w:legacySpace="0" w:legacyIndent="708"/>
      <w:lvlJc w:val="left"/>
      <w:pPr>
        <w:ind w:left="1416" w:hanging="708"/>
      </w:pPr>
    </w:lvl>
    <w:lvl w:ilvl="2" w:tentative="0">
      <w:start w:val="1"/>
      <w:numFmt w:val="decimal"/>
      <w:lvlText w:val="%1.%2.%3."/>
      <w:legacy w:legacy="1" w:legacySpace="0" w:legacyIndent="708"/>
      <w:lvlJc w:val="left"/>
      <w:pPr>
        <w:ind w:left="2124" w:hanging="708"/>
      </w:pPr>
    </w:lvl>
    <w:lvl w:ilvl="3" w:tentative="0">
      <w:start w:val="1"/>
      <w:numFmt w:val="decimal"/>
      <w:lvlText w:val="%1.%2.%3.%4."/>
      <w:legacy w:legacy="1" w:legacySpace="0" w:legacyIndent="708"/>
      <w:lvlJc w:val="left"/>
      <w:pPr>
        <w:ind w:left="2832" w:hanging="708"/>
      </w:pPr>
    </w:lvl>
    <w:lvl w:ilvl="4" w:tentative="0">
      <w:start w:val="1"/>
      <w:numFmt w:val="decimal"/>
      <w:lvlText w:val="%1.%2.%3.%4.%5."/>
      <w:legacy w:legacy="1" w:legacySpace="0" w:legacyIndent="708"/>
      <w:lvlJc w:val="left"/>
      <w:pPr>
        <w:ind w:left="3540" w:hanging="708"/>
      </w:pPr>
    </w:lvl>
    <w:lvl w:ilvl="5" w:tentative="0">
      <w:start w:val="1"/>
      <w:numFmt w:val="decimal"/>
      <w:lvlText w:val="%1.%2.%3.%4.%5.%6."/>
      <w:legacy w:legacy="1" w:legacySpace="0" w:legacyIndent="708"/>
      <w:lvlJc w:val="left"/>
      <w:pPr>
        <w:ind w:left="4248" w:hanging="708"/>
      </w:pPr>
    </w:lvl>
    <w:lvl w:ilvl="6" w:tentative="0">
      <w:start w:val="1"/>
      <w:numFmt w:val="decimal"/>
      <w:lvlText w:val="%1.%2.%3.%4.%5.%6.%7."/>
      <w:legacy w:legacy="1" w:legacySpace="0" w:legacyIndent="708"/>
      <w:lvlJc w:val="left"/>
      <w:pPr>
        <w:ind w:left="4956" w:hanging="708"/>
      </w:pPr>
    </w:lvl>
    <w:lvl w:ilvl="7" w:tentative="0">
      <w:start w:val="1"/>
      <w:numFmt w:val="decimal"/>
      <w:lvlText w:val="%1.%2.%3.%4.%5.%6.%7.%8."/>
      <w:legacy w:legacy="1" w:legacySpace="0" w:legacyIndent="708"/>
      <w:lvlJc w:val="left"/>
      <w:pPr>
        <w:ind w:left="5664" w:hanging="708"/>
      </w:pPr>
    </w:lvl>
    <w:lvl w:ilvl="8" w:tentative="0">
      <w:start w:val="1"/>
      <w:numFmt w:val="decimal"/>
      <w:lvlText w:val="%1.%2.%3.%4.%5.%6.%7.%8.%9."/>
      <w:legacy w:legacy="1" w:legacySpace="0" w:legacyIndent="708"/>
      <w:lvlJc w:val="left"/>
      <w:pPr>
        <w:ind w:left="6372" w:hanging="708"/>
      </w:pPr>
    </w:lvl>
  </w:abstractNum>
  <w:abstractNum w:abstractNumId="11">
    <w:nsid w:val="00000015"/>
    <w:multiLevelType w:val="multilevel"/>
    <w:tmpl w:val="0000001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2">
    <w:nsid w:val="00000016"/>
    <w:multiLevelType w:val="multilevel"/>
    <w:tmpl w:val="00000016"/>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10"/>
  </w:num>
  <w:num w:numId="2">
    <w:abstractNumId w:val="3"/>
  </w:num>
  <w:num w:numId="3">
    <w:abstractNumId w:val="11"/>
  </w:num>
  <w:num w:numId="4">
    <w:abstractNumId w:val="6"/>
  </w:num>
  <w:num w:numId="5">
    <w:abstractNumId w:val="7"/>
  </w:num>
  <w:num w:numId="6">
    <w:abstractNumId w:val="9"/>
  </w:num>
  <w:num w:numId="7">
    <w:abstractNumId w:val="5"/>
  </w:num>
  <w:num w:numId="8">
    <w:abstractNumId w:val="12"/>
  </w:num>
  <w:num w:numId="9">
    <w:abstractNumId w:val="0"/>
  </w:num>
  <w:num w:numId="10">
    <w:abstractNumId w:val="1"/>
  </w:num>
  <w:num w:numId="11">
    <w:abstractNumId w:val="8"/>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115A1"/>
    <w:rsid w:val="4D4B6BF1"/>
    <w:rsid w:val="748115A1"/>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widowControl/>
      <w:numPr>
        <w:ilvl w:val="0"/>
        <w:numId w:val="1"/>
      </w:numPr>
      <w:overflowPunct w:val="0"/>
      <w:autoSpaceDE w:val="0"/>
      <w:autoSpaceDN w:val="0"/>
      <w:adjustRightInd w:val="0"/>
      <w:spacing w:before="240" w:beforeLines="0" w:after="60" w:afterLines="0"/>
      <w:jc w:val="left"/>
      <w:textAlignment w:val="baseline"/>
      <w:outlineLvl w:val="0"/>
    </w:pPr>
    <w:rPr>
      <w:rFonts w:ascii="Arial" w:hAnsi="Arial"/>
      <w:b/>
      <w:kern w:val="28"/>
      <w:sz w:val="28"/>
      <w:szCs w:val="20"/>
    </w:rPr>
  </w:style>
  <w:style w:type="paragraph" w:styleId="3">
    <w:name w:val="heading 2"/>
    <w:basedOn w:val="1"/>
    <w:next w:val="1"/>
    <w:unhideWhenUsed/>
    <w:qFormat/>
    <w:uiPriority w:val="0"/>
    <w:pPr>
      <w:keepNext/>
      <w:widowControl/>
      <w:numPr>
        <w:ilvl w:val="1"/>
        <w:numId w:val="1"/>
      </w:numPr>
      <w:overflowPunct w:val="0"/>
      <w:autoSpaceDE w:val="0"/>
      <w:autoSpaceDN w:val="0"/>
      <w:adjustRightInd w:val="0"/>
      <w:spacing w:before="240" w:beforeLines="0" w:after="60" w:afterLines="0"/>
      <w:jc w:val="left"/>
      <w:textAlignment w:val="baseline"/>
      <w:outlineLvl w:val="1"/>
    </w:pPr>
    <w:rPr>
      <w:rFonts w:ascii="Arial" w:hAnsi="Arial"/>
      <w:b/>
      <w:i/>
      <w:kern w:val="0"/>
      <w:sz w:val="24"/>
      <w:szCs w:val="20"/>
    </w:rPr>
  </w:style>
  <w:style w:type="character" w:default="1" w:styleId="4">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character" w:customStyle="1" w:styleId="6">
    <w:name w:val="count11"/>
    <w:basedOn w:val="4"/>
    <w:qFormat/>
    <w:uiPriority w:val="0"/>
    <w:rPr>
      <w:rFonts w:hint="default" w:ascii="ˎ̥" w:hAnsi="ˎ̥"/>
      <w:color w:val="858585"/>
    </w:rPr>
  </w:style>
  <w:style w:type="character" w:customStyle="1" w:styleId="7">
    <w:name w:val="f10"/>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theme" Target="theme/theme1.xml"/><Relationship Id="rId29" Type="http://schemas.openxmlformats.org/officeDocument/2006/relationships/image" Target="media/image16.jpeg"/><Relationship Id="rId28" Type="http://schemas.openxmlformats.org/officeDocument/2006/relationships/image" Target="media/image15.emf"/><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emf"/><Relationship Id="rId23" Type="http://schemas.openxmlformats.org/officeDocument/2006/relationships/oleObject" Target="embeddings/oleObject5.bin"/><Relationship Id="rId22" Type="http://schemas.openxmlformats.org/officeDocument/2006/relationships/image" Target="media/image10.emf"/><Relationship Id="rId21" Type="http://schemas.openxmlformats.org/officeDocument/2006/relationships/oleObject" Target="embeddings/oleObject4.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emf"/><Relationship Id="rId17" Type="http://schemas.openxmlformats.org/officeDocument/2006/relationships/oleObject" Target="embeddings/oleObject2.bin"/><Relationship Id="rId16" Type="http://schemas.openxmlformats.org/officeDocument/2006/relationships/image" Target="media/image7.emf"/><Relationship Id="rId15" Type="http://schemas.openxmlformats.org/officeDocument/2006/relationships/oleObject" Target="embeddings/oleObject1.bin"/><Relationship Id="rId14" Type="http://schemas.openxmlformats.org/officeDocument/2006/relationships/image" Target="media/image6.jpeg"/><Relationship Id="rId13" Type="http://schemas.openxmlformats.org/officeDocument/2006/relationships/hyperlink" Target="http://baike.baidu.com/image/aa59892b91eab2bfe7cd4017" TargetMode="External"/><Relationship Id="rId12" Type="http://schemas.openxmlformats.org/officeDocument/2006/relationships/diagramColors" Target="diagrams/colors1.xml"/><Relationship Id="rId11" Type="http://schemas.openxmlformats.org/officeDocument/2006/relationships/diagramQuickStyle" Target="diagrams/quickStyle1.xml"/><Relationship Id="rId10" Type="http://schemas.openxmlformats.org/officeDocument/2006/relationships/diagramLayout" Target="diagrams/layout1.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9" Type="http://schemas.openxmlformats.org/officeDocument/2006/relationships/image" Target="media/image32.png"/><Relationship Id="rId8" Type="http://schemas.openxmlformats.org/officeDocument/2006/relationships/image" Target="media/image31.png"/><Relationship Id="rId7" Type="http://schemas.openxmlformats.org/officeDocument/2006/relationships/image" Target="media/image30.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alignNode1">
    <dgm:fillClrLst meth="repeat">
      <a:schemeClr val="dk2"/>
    </dgm:fillClrLst>
    <dgm:linClrLst meth="repeat">
      <a:schemeClr val="dk2"/>
    </dgm:linClrLst>
    <dgm:effectClrLst/>
    <dgm:txLinClrLst/>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node0">
    <dgm:fillClrLst meth="repeat">
      <a:schemeClr val="dk2"/>
    </dgm:fillClrLst>
    <dgm:linClrLst meth="repeat">
      <a:schemeClr val="lt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FCE6E8E-21E0-455C-9A5B-174578526CB4}" type="doc">
      <dgm:prSet loTypeId="urn:microsoft.com/office/officeart/2005/8/layout/hierarchy1" loCatId="hierarchy" qsTypeId="urn:microsoft.com/office/officeart/2005/8/quickstyle/3d4" qsCatId="3D" csTypeId="urn:microsoft.com/office/officeart/2005/8/colors/accent0_3" csCatId="mainScheme" phldr="1"/>
      <dgm:spPr/>
      <dgm:t>
        <a:bodyPr/>
        <a:p>
          <a:endParaRPr lang="zh-CN" altLang="en-US"/>
        </a:p>
      </dgm:t>
    </dgm:pt>
    <dgm:pt modelId="{9FD406D6-7871-4711-9551-5C8130BCB999}">
      <dgm:prSet phldrT="[文本]"/>
      <dgm:spPr/>
      <dgm:t>
        <a:bodyPr/>
        <a:p>
          <a:r>
            <a:rPr lang="zh-CN" altLang="en-US"/>
            <a:t>总指挥</a:t>
          </a:r>
          <a:endParaRPr lang="en-US" altLang="zh-CN"/>
        </a:p>
        <a:p>
          <a:r>
            <a:rPr lang="zh-CN" altLang="en-US"/>
            <a:t>王立华</a:t>
          </a:r>
        </a:p>
      </dgm:t>
    </dgm:pt>
    <dgm:pt modelId="{AA7EC911-92A5-4BFF-8EDF-BA92E116FB4C}" cxnId="{6B48DCA8-4A95-4FD9-86E4-8526336F92AC}" type="parTrans">
      <dgm:prSet/>
      <dgm:spPr/>
      <dgm:t>
        <a:bodyPr/>
        <a:p>
          <a:endParaRPr lang="zh-CN" altLang="en-US"/>
        </a:p>
      </dgm:t>
    </dgm:pt>
    <dgm:pt modelId="{6ABC433D-4DB3-4948-ADF9-2A96913D13CB}" cxnId="{6B48DCA8-4A95-4FD9-86E4-8526336F92AC}" type="sibTrans">
      <dgm:prSet/>
      <dgm:spPr/>
      <dgm:t>
        <a:bodyPr/>
        <a:p>
          <a:endParaRPr lang="zh-CN" altLang="en-US"/>
        </a:p>
      </dgm:t>
    </dgm:pt>
    <dgm:pt modelId="{3F578F6D-5C2B-45B1-A489-1D1F8DE5CAAA}">
      <dgm:prSet phldrT="[文本]"/>
      <dgm:spPr/>
      <dgm:t>
        <a:bodyPr/>
        <a:p>
          <a:r>
            <a:rPr lang="zh-CN" altLang="en-US"/>
            <a:t>第一副总指挥朱日芹</a:t>
          </a:r>
        </a:p>
      </dgm:t>
    </dgm:pt>
    <dgm:pt modelId="{6274783B-DF3D-4726-B295-4DDF791D53EC}" cxnId="{BEBF4604-84A6-4BDD-95D4-D6BA7BFC713B}" type="parTrans">
      <dgm:prSet/>
      <dgm:spPr/>
      <dgm:t>
        <a:bodyPr/>
        <a:p>
          <a:endParaRPr lang="zh-CN" altLang="en-US"/>
        </a:p>
      </dgm:t>
    </dgm:pt>
    <dgm:pt modelId="{B9E39CA2-98DD-44EF-9C62-A16E5160B9A9}" cxnId="{BEBF4604-84A6-4BDD-95D4-D6BA7BFC713B}" type="sibTrans">
      <dgm:prSet/>
      <dgm:spPr/>
      <dgm:t>
        <a:bodyPr/>
        <a:p>
          <a:endParaRPr lang="zh-CN" altLang="en-US"/>
        </a:p>
      </dgm:t>
    </dgm:pt>
    <dgm:pt modelId="{E1433058-BC6A-4EDF-8C39-2BEBC9291116}">
      <dgm:prSet phldrT="[文本]"/>
      <dgm:spPr/>
      <dgm:t>
        <a:bodyPr/>
        <a:p>
          <a:r>
            <a:rPr lang="zh-CN" altLang="en-US"/>
            <a:t>现场指挥</a:t>
          </a:r>
          <a:endParaRPr lang="en-US" altLang="zh-CN"/>
        </a:p>
        <a:p>
          <a:r>
            <a:rPr lang="zh-CN" altLang="en-US"/>
            <a:t>沈伟</a:t>
          </a:r>
        </a:p>
      </dgm:t>
    </dgm:pt>
    <dgm:pt modelId="{53CCDD64-E828-4A58-B056-16532F132B5D}" cxnId="{1B1A4EDE-D193-49AB-882C-C371A8A63F6E}" type="parTrans">
      <dgm:prSet/>
      <dgm:spPr/>
      <dgm:t>
        <a:bodyPr/>
        <a:p>
          <a:endParaRPr lang="zh-CN" altLang="en-US"/>
        </a:p>
      </dgm:t>
    </dgm:pt>
    <dgm:pt modelId="{0B612F31-4619-4E15-995E-09C2F359191A}" cxnId="{1B1A4EDE-D193-49AB-882C-C371A8A63F6E}" type="sibTrans">
      <dgm:prSet/>
      <dgm:spPr/>
      <dgm:t>
        <a:bodyPr/>
        <a:p>
          <a:endParaRPr lang="zh-CN" altLang="en-US"/>
        </a:p>
      </dgm:t>
    </dgm:pt>
    <dgm:pt modelId="{F922E4CA-86B5-4295-948C-D773BFCC602E}">
      <dgm:prSet phldrT="[文本]"/>
      <dgm:spPr/>
      <dgm:t>
        <a:bodyPr/>
        <a:p>
          <a:r>
            <a:rPr lang="zh-CN" altLang="en-US"/>
            <a:t>现场指挥   沈慧</a:t>
          </a:r>
        </a:p>
      </dgm:t>
    </dgm:pt>
    <dgm:pt modelId="{C9F687F1-F3AD-44B2-A8F8-19EFE1A89385}" cxnId="{397089AD-3C42-476D-9CDF-527C3367EFA4}" type="parTrans">
      <dgm:prSet/>
      <dgm:spPr/>
      <dgm:t>
        <a:bodyPr/>
        <a:p>
          <a:endParaRPr lang="zh-CN" altLang="en-US"/>
        </a:p>
      </dgm:t>
    </dgm:pt>
    <dgm:pt modelId="{8EC5D786-A6BD-48C7-8452-6C9A38CEF4FD}" cxnId="{397089AD-3C42-476D-9CDF-527C3367EFA4}" type="sibTrans">
      <dgm:prSet/>
      <dgm:spPr/>
      <dgm:t>
        <a:bodyPr/>
        <a:p>
          <a:endParaRPr lang="zh-CN" altLang="en-US"/>
        </a:p>
      </dgm:t>
    </dgm:pt>
    <dgm:pt modelId="{EBB10BB4-18D6-4624-B975-ED30FB678C37}">
      <dgm:prSet phldrT="[文本]"/>
      <dgm:spPr/>
      <dgm:t>
        <a:bodyPr/>
        <a:p>
          <a:r>
            <a:rPr lang="zh-CN" altLang="en-US"/>
            <a:t>第二副总指挥刘广仁</a:t>
          </a:r>
        </a:p>
      </dgm:t>
    </dgm:pt>
    <dgm:pt modelId="{6D06400F-073C-4165-989C-E11E7CBE9D97}" cxnId="{C9953BBA-F0A1-43BB-9030-BFC5CA0397B4}" type="parTrans">
      <dgm:prSet/>
      <dgm:spPr/>
      <dgm:t>
        <a:bodyPr/>
        <a:p>
          <a:endParaRPr lang="zh-CN" altLang="en-US"/>
        </a:p>
      </dgm:t>
    </dgm:pt>
    <dgm:pt modelId="{D061BC52-73FA-47B6-8BEF-FD39242A679C}" cxnId="{C9953BBA-F0A1-43BB-9030-BFC5CA0397B4}" type="sibTrans">
      <dgm:prSet/>
      <dgm:spPr/>
      <dgm:t>
        <a:bodyPr/>
        <a:p>
          <a:endParaRPr lang="zh-CN" altLang="en-US"/>
        </a:p>
      </dgm:t>
    </dgm:pt>
    <dgm:pt modelId="{E385C848-2349-4B42-AD6B-46B793F60192}">
      <dgm:prSet phldrT="[文本]"/>
      <dgm:spPr/>
      <dgm:t>
        <a:bodyPr/>
        <a:p>
          <a:r>
            <a:rPr lang="zh-CN" altLang="en-US"/>
            <a:t>现场指挥   刘传东</a:t>
          </a:r>
        </a:p>
      </dgm:t>
    </dgm:pt>
    <dgm:pt modelId="{2200A61F-AC61-4749-8A9B-6CC94CD32006}" cxnId="{215CAD91-59DA-4078-AD79-30EBF4B54157}" type="parTrans">
      <dgm:prSet/>
      <dgm:spPr/>
      <dgm:t>
        <a:bodyPr/>
        <a:p>
          <a:endParaRPr lang="zh-CN" altLang="en-US"/>
        </a:p>
      </dgm:t>
    </dgm:pt>
    <dgm:pt modelId="{78F299B9-643F-4F5F-9715-19CFCB731859}" cxnId="{215CAD91-59DA-4078-AD79-30EBF4B54157}" type="sibTrans">
      <dgm:prSet/>
      <dgm:spPr/>
      <dgm:t>
        <a:bodyPr/>
        <a:p>
          <a:endParaRPr lang="zh-CN" altLang="en-US"/>
        </a:p>
      </dgm:t>
    </dgm:pt>
    <dgm:pt modelId="{6348BF54-9745-4851-BCBC-EFB469D5493E}">
      <dgm:prSet/>
      <dgm:spPr/>
      <dgm:t>
        <a:bodyPr/>
        <a:p>
          <a:r>
            <a:rPr lang="zh-CN" altLang="en-US"/>
            <a:t>后勤保障</a:t>
          </a:r>
          <a:endParaRPr lang="en-US" altLang="zh-CN"/>
        </a:p>
        <a:p>
          <a:r>
            <a:rPr lang="zh-CN" altLang="en-US"/>
            <a:t>杨浩林</a:t>
          </a:r>
        </a:p>
      </dgm:t>
    </dgm:pt>
    <dgm:pt modelId="{E48F0FA5-A821-461D-AE1F-78BC2BB969A5}" cxnId="{FCD54B51-6192-46BE-8C67-3D7376DCBA85}" type="parTrans">
      <dgm:prSet/>
      <dgm:spPr/>
      <dgm:t>
        <a:bodyPr/>
        <a:p>
          <a:endParaRPr lang="zh-CN" altLang="en-US"/>
        </a:p>
      </dgm:t>
    </dgm:pt>
    <dgm:pt modelId="{D193B8C8-E34F-4B15-8188-DCCC89091D92}" cxnId="{FCD54B51-6192-46BE-8C67-3D7376DCBA85}" type="sibTrans">
      <dgm:prSet/>
      <dgm:spPr/>
      <dgm:t>
        <a:bodyPr/>
        <a:p>
          <a:endParaRPr lang="zh-CN" altLang="en-US"/>
        </a:p>
      </dgm:t>
    </dgm:pt>
    <dgm:pt modelId="{E34CF413-06AF-4216-80C7-D0EACED0F8CD}">
      <dgm:prSet/>
      <dgm:spPr/>
      <dgm:t>
        <a:bodyPr/>
        <a:p>
          <a:r>
            <a:rPr lang="zh-CN" altLang="en-US"/>
            <a:t>现场指挥                  吴良垒</a:t>
          </a:r>
        </a:p>
      </dgm:t>
    </dgm:pt>
    <dgm:pt modelId="{DB67E893-703E-41D5-806E-D6E3B89C42C1}" cxnId="{20052DE8-25DC-46EE-BB73-708A47A3A3E4}" type="parTrans">
      <dgm:prSet/>
      <dgm:spPr/>
      <dgm:t>
        <a:bodyPr/>
        <a:p>
          <a:endParaRPr lang="zh-CN" altLang="en-US"/>
        </a:p>
      </dgm:t>
    </dgm:pt>
    <dgm:pt modelId="{5DB94D50-8793-44C0-A483-C6F9F0223C11}" cxnId="{20052DE8-25DC-46EE-BB73-708A47A3A3E4}" type="sibTrans">
      <dgm:prSet/>
      <dgm:spPr/>
      <dgm:t>
        <a:bodyPr/>
        <a:p>
          <a:endParaRPr lang="zh-CN" altLang="en-US"/>
        </a:p>
      </dgm:t>
    </dgm:pt>
    <dgm:pt modelId="{91995D9A-E614-409C-AF96-C2FFA3AF7F96}">
      <dgm:prSet/>
      <dgm:spPr/>
      <dgm:t>
        <a:bodyPr/>
        <a:p>
          <a:r>
            <a:rPr lang="zh-CN" altLang="en-US"/>
            <a:t>现场指挥</a:t>
          </a:r>
          <a:endParaRPr lang="en-US" altLang="zh-CN"/>
        </a:p>
        <a:p>
          <a:r>
            <a:rPr lang="zh-CN" altLang="en-US"/>
            <a:t>陈冲</a:t>
          </a:r>
        </a:p>
      </dgm:t>
    </dgm:pt>
    <dgm:pt modelId="{8C73EDAD-0FFD-4A97-9194-A833E8785434}" cxnId="{ECAF1349-1FD9-4003-A7FE-2C2CACF44615}" type="parTrans">
      <dgm:prSet/>
      <dgm:spPr/>
      <dgm:t>
        <a:bodyPr/>
        <a:p>
          <a:endParaRPr lang="zh-CN" altLang="en-US"/>
        </a:p>
      </dgm:t>
    </dgm:pt>
    <dgm:pt modelId="{24D18DAB-5551-47E6-A011-B939C0B202CF}" cxnId="{ECAF1349-1FD9-4003-A7FE-2C2CACF44615}" type="sibTrans">
      <dgm:prSet/>
      <dgm:spPr/>
      <dgm:t>
        <a:bodyPr/>
        <a:p>
          <a:endParaRPr lang="zh-CN" altLang="en-US"/>
        </a:p>
      </dgm:t>
    </dgm:pt>
    <dgm:pt modelId="{CBBC3C41-B13C-4971-A5D2-EB1E40253C63}">
      <dgm:prSet/>
      <dgm:spPr/>
      <dgm:t>
        <a:bodyPr/>
        <a:p>
          <a:r>
            <a:rPr lang="zh-CN" altLang="en-US"/>
            <a:t>现场指挥         刘文立</a:t>
          </a:r>
        </a:p>
      </dgm:t>
    </dgm:pt>
    <dgm:pt modelId="{E3F8094C-662D-49D0-885F-F043869CD32F}" cxnId="{F6429BF2-C1EE-42A2-A25A-65F0277B9DC4}" type="parTrans">
      <dgm:prSet/>
      <dgm:spPr/>
      <dgm:t>
        <a:bodyPr/>
        <a:p>
          <a:endParaRPr lang="zh-CN" altLang="en-US"/>
        </a:p>
      </dgm:t>
    </dgm:pt>
    <dgm:pt modelId="{5C78D340-E6BC-4E4C-A0D8-C4AF8BFEF68E}" cxnId="{F6429BF2-C1EE-42A2-A25A-65F0277B9DC4}" type="sibTrans">
      <dgm:prSet/>
      <dgm:spPr/>
      <dgm:t>
        <a:bodyPr/>
        <a:p>
          <a:endParaRPr lang="zh-CN" altLang="en-US"/>
        </a:p>
      </dgm:t>
    </dgm:pt>
    <dgm:pt modelId="{DF78DDBA-F3A6-4E53-B606-2EE3EF211C9C}">
      <dgm:prSet/>
      <dgm:spPr/>
      <dgm:t>
        <a:bodyPr/>
        <a:p>
          <a:r>
            <a:rPr lang="zh-CN" altLang="en-US"/>
            <a:t>围油栏布放阻</a:t>
          </a:r>
        </a:p>
      </dgm:t>
    </dgm:pt>
    <dgm:pt modelId="{DA006708-D741-4B68-8007-B637E38E6749}" cxnId="{4787162D-2C5F-4D3F-AE3C-7FB6DA28123B}" type="parTrans">
      <dgm:prSet/>
      <dgm:spPr/>
      <dgm:t>
        <a:bodyPr/>
        <a:p>
          <a:endParaRPr lang="zh-CN" altLang="en-US"/>
        </a:p>
      </dgm:t>
    </dgm:pt>
    <dgm:pt modelId="{32A6E681-BF40-4082-9726-3198D7D70CB2}" cxnId="{4787162D-2C5F-4D3F-AE3C-7FB6DA28123B}" type="sibTrans">
      <dgm:prSet/>
      <dgm:spPr/>
      <dgm:t>
        <a:bodyPr/>
        <a:p>
          <a:endParaRPr lang="zh-CN" altLang="en-US"/>
        </a:p>
      </dgm:t>
    </dgm:pt>
    <dgm:pt modelId="{F5105DCE-BC82-464A-B633-965A2C81C69F}">
      <dgm:prSet/>
      <dgm:spPr/>
      <dgm:t>
        <a:bodyPr/>
        <a:p>
          <a:r>
            <a:rPr lang="zh-CN" altLang="en-US"/>
            <a:t>分散剂喷洒组</a:t>
          </a:r>
        </a:p>
      </dgm:t>
    </dgm:pt>
    <dgm:pt modelId="{17C230BC-152B-43F2-A769-8BD26A8B3791}" cxnId="{5F86C8FC-7029-410C-9E77-5B44BFB51C4D}" type="parTrans">
      <dgm:prSet/>
      <dgm:spPr/>
      <dgm:t>
        <a:bodyPr/>
        <a:p>
          <a:endParaRPr lang="zh-CN" altLang="en-US"/>
        </a:p>
      </dgm:t>
    </dgm:pt>
    <dgm:pt modelId="{078D257D-BE50-4CFD-9346-C7505279040E}" cxnId="{5F86C8FC-7029-410C-9E77-5B44BFB51C4D}" type="sibTrans">
      <dgm:prSet/>
      <dgm:spPr/>
      <dgm:t>
        <a:bodyPr/>
        <a:p>
          <a:endParaRPr lang="zh-CN" altLang="en-US"/>
        </a:p>
      </dgm:t>
    </dgm:pt>
    <dgm:pt modelId="{FC50CB99-04EC-46F8-9CDB-1CCF12BA544A}">
      <dgm:prSet/>
      <dgm:spPr/>
      <dgm:t>
        <a:bodyPr/>
        <a:p>
          <a:r>
            <a:rPr lang="zh-CN" altLang="en-US"/>
            <a:t>溢油回收组</a:t>
          </a:r>
        </a:p>
      </dgm:t>
    </dgm:pt>
    <dgm:pt modelId="{9CC7EDF0-6EE7-451F-A6EF-D4F259BB8192}" cxnId="{95C96DCA-A9C7-47E3-A593-EFEEF36DDABB}" type="parTrans">
      <dgm:prSet/>
      <dgm:spPr/>
      <dgm:t>
        <a:bodyPr/>
        <a:p>
          <a:endParaRPr lang="zh-CN" altLang="en-US"/>
        </a:p>
      </dgm:t>
    </dgm:pt>
    <dgm:pt modelId="{EDDE76EC-FA7D-4F5E-ABB0-1444EDF2C903}" cxnId="{95C96DCA-A9C7-47E3-A593-EFEEF36DDABB}" type="sibTrans">
      <dgm:prSet/>
      <dgm:spPr/>
      <dgm:t>
        <a:bodyPr/>
        <a:p>
          <a:endParaRPr lang="zh-CN" altLang="en-US"/>
        </a:p>
      </dgm:t>
    </dgm:pt>
    <dgm:pt modelId="{EEDD6EC2-6121-4E80-A092-899E26BAF9AB}">
      <dgm:prSet/>
      <dgm:spPr/>
      <dgm:t>
        <a:bodyPr/>
        <a:p>
          <a:r>
            <a:rPr lang="zh-CN" altLang="en-US"/>
            <a:t>吸油毡小组</a:t>
          </a:r>
        </a:p>
      </dgm:t>
    </dgm:pt>
    <dgm:pt modelId="{0E52D0AC-FB29-4C1B-BAB6-BA4AE034DB0C}" cxnId="{1546AE4A-D5EC-4B67-9A23-248359A43DB5}" type="parTrans">
      <dgm:prSet/>
      <dgm:spPr/>
      <dgm:t>
        <a:bodyPr/>
        <a:p>
          <a:endParaRPr lang="zh-CN" altLang="en-US"/>
        </a:p>
      </dgm:t>
    </dgm:pt>
    <dgm:pt modelId="{29846176-558A-477A-B7FC-887ACECE9FCE}" cxnId="{1546AE4A-D5EC-4B67-9A23-248359A43DB5}" type="sibTrans">
      <dgm:prSet/>
      <dgm:spPr/>
      <dgm:t>
        <a:bodyPr/>
        <a:p>
          <a:endParaRPr lang="zh-CN" altLang="en-US"/>
        </a:p>
      </dgm:t>
    </dgm:pt>
    <dgm:pt modelId="{B00B05C7-0FB3-466C-AC4C-55ED918CCBE6}">
      <dgm:prSet/>
      <dgm:spPr/>
      <dgm:t>
        <a:bodyPr/>
        <a:p>
          <a:r>
            <a:rPr lang="zh-CN" altLang="en-US"/>
            <a:t>油垃圾打捞</a:t>
          </a:r>
        </a:p>
      </dgm:t>
    </dgm:pt>
    <dgm:pt modelId="{19269D5A-84F1-46AC-965A-D40DD3B733AB}" cxnId="{E5A45842-CDDE-4C04-8D97-D8F83F8019D4}" type="parTrans">
      <dgm:prSet/>
      <dgm:spPr/>
      <dgm:t>
        <a:bodyPr/>
        <a:p>
          <a:endParaRPr lang="zh-CN" altLang="en-US"/>
        </a:p>
      </dgm:t>
    </dgm:pt>
    <dgm:pt modelId="{6D84D61F-10AB-45B1-B7AF-A68360F32176}" cxnId="{E5A45842-CDDE-4C04-8D97-D8F83F8019D4}" type="sibTrans">
      <dgm:prSet/>
      <dgm:spPr/>
      <dgm:t>
        <a:bodyPr/>
        <a:p>
          <a:endParaRPr lang="zh-CN" altLang="en-US"/>
        </a:p>
      </dgm:t>
    </dgm:pt>
    <dgm:pt modelId="{54A2BE29-9FE8-4E61-9404-61AA60919E74}">
      <dgm:prSet/>
      <dgm:spPr/>
      <dgm:t>
        <a:bodyPr/>
        <a:p>
          <a:r>
            <a:rPr lang="zh-CN" altLang="en-US"/>
            <a:t>岸线清除</a:t>
          </a:r>
        </a:p>
      </dgm:t>
    </dgm:pt>
    <dgm:pt modelId="{EC74CE76-880F-4E31-B967-B6E8B3E37B69}" cxnId="{0EBCE65A-92BE-4B04-99E7-D32882721E26}" type="parTrans">
      <dgm:prSet/>
      <dgm:spPr/>
      <dgm:t>
        <a:bodyPr/>
        <a:p>
          <a:endParaRPr lang="zh-CN" altLang="en-US"/>
        </a:p>
      </dgm:t>
    </dgm:pt>
    <dgm:pt modelId="{455237C6-3BF6-4D7B-A1BA-72131CE29889}" cxnId="{0EBCE65A-92BE-4B04-99E7-D32882721E26}" type="sibTrans">
      <dgm:prSet/>
      <dgm:spPr/>
      <dgm:t>
        <a:bodyPr/>
        <a:p>
          <a:endParaRPr lang="zh-CN" altLang="en-US"/>
        </a:p>
      </dgm:t>
    </dgm:pt>
    <dgm:pt modelId="{53376C9F-2E02-4B2C-85EC-77A083A01A2D}" type="pres">
      <dgm:prSet presAssocID="{8FCE6E8E-21E0-455C-9A5B-174578526CB4}" presName="hierChild1" presStyleCnt="0">
        <dgm:presLayoutVars>
          <dgm:chPref val="1"/>
          <dgm:dir/>
          <dgm:animOne val="branch"/>
          <dgm:animLvl val="lvl"/>
          <dgm:resizeHandles/>
        </dgm:presLayoutVars>
      </dgm:prSet>
      <dgm:spPr/>
      <dgm:t>
        <a:bodyPr/>
        <a:p>
          <a:endParaRPr lang="zh-CN" altLang="en-US"/>
        </a:p>
      </dgm:t>
    </dgm:pt>
    <dgm:pt modelId="{1102755A-9CD6-4F6F-BD8F-FB87C82B25A7}" type="pres">
      <dgm:prSet presAssocID="{9FD406D6-7871-4711-9551-5C8130BCB999}" presName="hierRoot1" presStyleCnt="0"/>
      <dgm:spPr/>
    </dgm:pt>
    <dgm:pt modelId="{F878A53F-7E9D-4BCA-B21E-B4935F5E7643}" type="pres">
      <dgm:prSet presAssocID="{9FD406D6-7871-4711-9551-5C8130BCB999}" presName="composite" presStyleCnt="0"/>
      <dgm:spPr/>
    </dgm:pt>
    <dgm:pt modelId="{0E6DF3F6-E65A-48FB-A21A-D93EB24F9DF1}" type="pres">
      <dgm:prSet presAssocID="{9FD406D6-7871-4711-9551-5C8130BCB999}" presName="background" presStyleLbl="node0" presStyleIdx="0" presStyleCnt="1"/>
      <dgm:spPr/>
    </dgm:pt>
    <dgm:pt modelId="{8016D8CA-ED9B-453B-BCE7-322F9DD20689}" type="pres">
      <dgm:prSet presAssocID="{9FD406D6-7871-4711-9551-5C8130BCB999}" presName="text" presStyleLbl="fgAcc0" presStyleIdx="0" presStyleCnt="1">
        <dgm:presLayoutVars>
          <dgm:chPref val="3"/>
        </dgm:presLayoutVars>
      </dgm:prSet>
      <dgm:spPr/>
      <dgm:t>
        <a:bodyPr/>
        <a:p>
          <a:endParaRPr lang="zh-CN" altLang="en-US"/>
        </a:p>
      </dgm:t>
    </dgm:pt>
    <dgm:pt modelId="{9C8B6AB5-C4E4-4FDB-92B4-09C4411E7AE7}" type="pres">
      <dgm:prSet presAssocID="{9FD406D6-7871-4711-9551-5C8130BCB999}" presName="hierChild2" presStyleCnt="0"/>
      <dgm:spPr/>
    </dgm:pt>
    <dgm:pt modelId="{1F22A2A1-968F-4F4A-AF3F-94C2F70DF3C0}" type="pres">
      <dgm:prSet presAssocID="{6274783B-DF3D-4726-B295-4DDF791D53EC}" presName="Name10" presStyleLbl="parChTrans1D2" presStyleIdx="0" presStyleCnt="3"/>
      <dgm:spPr/>
      <dgm:t>
        <a:bodyPr/>
        <a:p>
          <a:endParaRPr lang="zh-CN" altLang="en-US"/>
        </a:p>
      </dgm:t>
    </dgm:pt>
    <dgm:pt modelId="{DE67BAF5-3F66-4A2D-AE42-7DAFE64B5174}" type="pres">
      <dgm:prSet presAssocID="{3F578F6D-5C2B-45B1-A489-1D1F8DE5CAAA}" presName="hierRoot2" presStyleCnt="0"/>
      <dgm:spPr/>
    </dgm:pt>
    <dgm:pt modelId="{F0346F1B-68FF-4FCE-9914-D55452892AC2}" type="pres">
      <dgm:prSet presAssocID="{3F578F6D-5C2B-45B1-A489-1D1F8DE5CAAA}" presName="composite2" presStyleCnt="0"/>
      <dgm:spPr/>
    </dgm:pt>
    <dgm:pt modelId="{23A26F40-44F0-4218-82DD-E4CA4B31C2AC}" type="pres">
      <dgm:prSet presAssocID="{3F578F6D-5C2B-45B1-A489-1D1F8DE5CAAA}" presName="background2" presStyleLbl="node2" presStyleIdx="0" presStyleCnt="3"/>
      <dgm:spPr/>
    </dgm:pt>
    <dgm:pt modelId="{7622341B-0491-4843-9C32-5D5F55D36393}" type="pres">
      <dgm:prSet presAssocID="{3F578F6D-5C2B-45B1-A489-1D1F8DE5CAAA}" presName="text2" presStyleLbl="fgAcc2" presStyleIdx="0" presStyleCnt="3">
        <dgm:presLayoutVars>
          <dgm:chPref val="3"/>
        </dgm:presLayoutVars>
      </dgm:prSet>
      <dgm:spPr/>
      <dgm:t>
        <a:bodyPr/>
        <a:p>
          <a:endParaRPr lang="zh-CN" altLang="en-US"/>
        </a:p>
      </dgm:t>
    </dgm:pt>
    <dgm:pt modelId="{4B3F7B05-F204-46F1-BB29-00568092549F}" type="pres">
      <dgm:prSet presAssocID="{3F578F6D-5C2B-45B1-A489-1D1F8DE5CAAA}" presName="hierChild3" presStyleCnt="0"/>
      <dgm:spPr/>
    </dgm:pt>
    <dgm:pt modelId="{DF914B44-3803-42B4-A85B-2146661491BD}" type="pres">
      <dgm:prSet presAssocID="{53CCDD64-E828-4A58-B056-16532F132B5D}" presName="Name17" presStyleLbl="parChTrans1D3" presStyleIdx="0" presStyleCnt="6"/>
      <dgm:spPr/>
      <dgm:t>
        <a:bodyPr/>
        <a:p>
          <a:endParaRPr lang="zh-CN" altLang="en-US"/>
        </a:p>
      </dgm:t>
    </dgm:pt>
    <dgm:pt modelId="{C9D7A437-687C-4310-86A0-35DEAAAF9B16}" type="pres">
      <dgm:prSet presAssocID="{E1433058-BC6A-4EDF-8C39-2BEBC9291116}" presName="hierRoot3" presStyleCnt="0"/>
      <dgm:spPr/>
    </dgm:pt>
    <dgm:pt modelId="{55F0F95A-BE63-4D05-8210-78A69B4F92DC}" type="pres">
      <dgm:prSet presAssocID="{E1433058-BC6A-4EDF-8C39-2BEBC9291116}" presName="composite3" presStyleCnt="0"/>
      <dgm:spPr/>
    </dgm:pt>
    <dgm:pt modelId="{40CA944B-3B6B-45C3-A641-F6B079E8DE1F}" type="pres">
      <dgm:prSet presAssocID="{E1433058-BC6A-4EDF-8C39-2BEBC9291116}" presName="background3" presStyleLbl="node3" presStyleIdx="0" presStyleCnt="6"/>
      <dgm:spPr/>
    </dgm:pt>
    <dgm:pt modelId="{5B1044E7-2C51-4059-B827-349F33C1B127}" type="pres">
      <dgm:prSet presAssocID="{E1433058-BC6A-4EDF-8C39-2BEBC9291116}" presName="text3" presStyleLbl="fgAcc3" presStyleIdx="0" presStyleCnt="6">
        <dgm:presLayoutVars>
          <dgm:chPref val="3"/>
        </dgm:presLayoutVars>
      </dgm:prSet>
      <dgm:spPr/>
      <dgm:t>
        <a:bodyPr/>
        <a:p>
          <a:endParaRPr lang="zh-CN" altLang="en-US"/>
        </a:p>
      </dgm:t>
    </dgm:pt>
    <dgm:pt modelId="{1918CF98-3CDE-47B9-B116-2511F60B5C31}" type="pres">
      <dgm:prSet presAssocID="{E1433058-BC6A-4EDF-8C39-2BEBC9291116}" presName="hierChild4" presStyleCnt="0"/>
      <dgm:spPr/>
    </dgm:pt>
    <dgm:pt modelId="{845A53A7-8CA2-44B0-91DB-D7C67D606E5C}" type="pres">
      <dgm:prSet presAssocID="{DA006708-D741-4B68-8007-B637E38E6749}" presName="Name23" presStyleLbl="parChTrans1D4" presStyleIdx="0" presStyleCnt="6"/>
      <dgm:spPr/>
      <dgm:t>
        <a:bodyPr/>
        <a:p>
          <a:endParaRPr lang="zh-CN" altLang="en-US"/>
        </a:p>
      </dgm:t>
    </dgm:pt>
    <dgm:pt modelId="{1524575B-AB68-4F87-A72D-41FFC4E8EA4F}" type="pres">
      <dgm:prSet presAssocID="{DF78DDBA-F3A6-4E53-B606-2EE3EF211C9C}" presName="hierRoot4" presStyleCnt="0"/>
      <dgm:spPr/>
    </dgm:pt>
    <dgm:pt modelId="{106CE06A-CC88-4EE1-B8FA-75AD7C9CDCE0}" type="pres">
      <dgm:prSet presAssocID="{DF78DDBA-F3A6-4E53-B606-2EE3EF211C9C}" presName="composite4" presStyleCnt="0"/>
      <dgm:spPr/>
    </dgm:pt>
    <dgm:pt modelId="{7E61DD26-6AF7-462C-928E-3356DEE6CFAE}" type="pres">
      <dgm:prSet presAssocID="{DF78DDBA-F3A6-4E53-B606-2EE3EF211C9C}" presName="background4" presStyleLbl="node4" presStyleIdx="0" presStyleCnt="6"/>
      <dgm:spPr/>
    </dgm:pt>
    <dgm:pt modelId="{7C3C2C9C-02F5-4D04-9F10-9B1D7CA60102}" type="pres">
      <dgm:prSet presAssocID="{DF78DDBA-F3A6-4E53-B606-2EE3EF211C9C}" presName="text4" presStyleLbl="fgAcc4" presStyleIdx="0" presStyleCnt="6">
        <dgm:presLayoutVars>
          <dgm:chPref val="3"/>
        </dgm:presLayoutVars>
      </dgm:prSet>
      <dgm:spPr/>
      <dgm:t>
        <a:bodyPr/>
        <a:p>
          <a:endParaRPr lang="zh-CN" altLang="en-US"/>
        </a:p>
      </dgm:t>
    </dgm:pt>
    <dgm:pt modelId="{67EC89F9-AA44-4A84-A9FA-BD869207036E}" type="pres">
      <dgm:prSet presAssocID="{DF78DDBA-F3A6-4E53-B606-2EE3EF211C9C}" presName="hierChild5" presStyleCnt="0"/>
      <dgm:spPr/>
    </dgm:pt>
    <dgm:pt modelId="{DF739D99-1C35-49AE-8CFE-829B4E806F6A}" type="pres">
      <dgm:prSet presAssocID="{C9F687F1-F3AD-44B2-A8F8-19EFE1A89385}" presName="Name17" presStyleLbl="parChTrans1D3" presStyleIdx="1" presStyleCnt="6"/>
      <dgm:spPr/>
      <dgm:t>
        <a:bodyPr/>
        <a:p>
          <a:endParaRPr lang="zh-CN" altLang="en-US"/>
        </a:p>
      </dgm:t>
    </dgm:pt>
    <dgm:pt modelId="{CDA423DF-CC28-4631-A968-AFC5219522B5}" type="pres">
      <dgm:prSet presAssocID="{F922E4CA-86B5-4295-948C-D773BFCC602E}" presName="hierRoot3" presStyleCnt="0"/>
      <dgm:spPr/>
    </dgm:pt>
    <dgm:pt modelId="{1304E8C4-3ED1-4E24-A643-08A60E98B210}" type="pres">
      <dgm:prSet presAssocID="{F922E4CA-86B5-4295-948C-D773BFCC602E}" presName="composite3" presStyleCnt="0"/>
      <dgm:spPr/>
    </dgm:pt>
    <dgm:pt modelId="{030A34BB-073F-4AE2-844D-E4F9DB41C72B}" type="pres">
      <dgm:prSet presAssocID="{F922E4CA-86B5-4295-948C-D773BFCC602E}" presName="background3" presStyleLbl="node3" presStyleIdx="1" presStyleCnt="6"/>
      <dgm:spPr/>
    </dgm:pt>
    <dgm:pt modelId="{A3AA923F-8FE2-4C53-9325-68082BA92892}" type="pres">
      <dgm:prSet presAssocID="{F922E4CA-86B5-4295-948C-D773BFCC602E}" presName="text3" presStyleLbl="fgAcc3" presStyleIdx="1" presStyleCnt="6">
        <dgm:presLayoutVars>
          <dgm:chPref val="3"/>
        </dgm:presLayoutVars>
      </dgm:prSet>
      <dgm:spPr/>
      <dgm:t>
        <a:bodyPr/>
        <a:p>
          <a:endParaRPr lang="zh-CN" altLang="en-US"/>
        </a:p>
      </dgm:t>
    </dgm:pt>
    <dgm:pt modelId="{5BCF19CA-D3B0-4044-B852-B567E6E6A0FF}" type="pres">
      <dgm:prSet presAssocID="{F922E4CA-86B5-4295-948C-D773BFCC602E}" presName="hierChild4" presStyleCnt="0"/>
      <dgm:spPr/>
    </dgm:pt>
    <dgm:pt modelId="{4E3C5385-9B6F-4D64-8FDC-A88B9ADA7565}" type="pres">
      <dgm:prSet presAssocID="{17C230BC-152B-43F2-A769-8BD26A8B3791}" presName="Name23" presStyleLbl="parChTrans1D4" presStyleIdx="1" presStyleCnt="6"/>
      <dgm:spPr/>
      <dgm:t>
        <a:bodyPr/>
        <a:p>
          <a:endParaRPr lang="zh-CN" altLang="en-US"/>
        </a:p>
      </dgm:t>
    </dgm:pt>
    <dgm:pt modelId="{C58DF301-3A6B-44B0-A1BD-D683504BBC15}" type="pres">
      <dgm:prSet presAssocID="{F5105DCE-BC82-464A-B633-965A2C81C69F}" presName="hierRoot4" presStyleCnt="0"/>
      <dgm:spPr/>
    </dgm:pt>
    <dgm:pt modelId="{DB40DF0E-314A-4B15-805C-3A539938C375}" type="pres">
      <dgm:prSet presAssocID="{F5105DCE-BC82-464A-B633-965A2C81C69F}" presName="composite4" presStyleCnt="0"/>
      <dgm:spPr/>
    </dgm:pt>
    <dgm:pt modelId="{F2C6F8B3-81D5-42E6-9782-CDB6B0329CFD}" type="pres">
      <dgm:prSet presAssocID="{F5105DCE-BC82-464A-B633-965A2C81C69F}" presName="background4" presStyleLbl="node4" presStyleIdx="1" presStyleCnt="6"/>
      <dgm:spPr/>
    </dgm:pt>
    <dgm:pt modelId="{470A9858-0142-451E-81DF-1ED289BCB7E2}" type="pres">
      <dgm:prSet presAssocID="{F5105DCE-BC82-464A-B633-965A2C81C69F}" presName="text4" presStyleLbl="fgAcc4" presStyleIdx="1" presStyleCnt="6">
        <dgm:presLayoutVars>
          <dgm:chPref val="3"/>
        </dgm:presLayoutVars>
      </dgm:prSet>
      <dgm:spPr/>
      <dgm:t>
        <a:bodyPr/>
        <a:p>
          <a:endParaRPr lang="zh-CN" altLang="en-US"/>
        </a:p>
      </dgm:t>
    </dgm:pt>
    <dgm:pt modelId="{7401E962-91FF-46BE-B9C1-DB4D6A7F7ADB}" type="pres">
      <dgm:prSet presAssocID="{F5105DCE-BC82-464A-B633-965A2C81C69F}" presName="hierChild5" presStyleCnt="0"/>
      <dgm:spPr/>
    </dgm:pt>
    <dgm:pt modelId="{951C120F-DE6C-46F2-BED1-DA533F679C66}" type="pres">
      <dgm:prSet presAssocID="{6D06400F-073C-4165-989C-E11E7CBE9D97}" presName="Name10" presStyleLbl="parChTrans1D2" presStyleIdx="1" presStyleCnt="3"/>
      <dgm:spPr/>
      <dgm:t>
        <a:bodyPr/>
        <a:p>
          <a:endParaRPr lang="zh-CN" altLang="en-US"/>
        </a:p>
      </dgm:t>
    </dgm:pt>
    <dgm:pt modelId="{AB739CD1-B9E3-4565-A5CE-CFE0BE7F4505}" type="pres">
      <dgm:prSet presAssocID="{EBB10BB4-18D6-4624-B975-ED30FB678C37}" presName="hierRoot2" presStyleCnt="0"/>
      <dgm:spPr/>
    </dgm:pt>
    <dgm:pt modelId="{17BBE7DF-1567-42DF-A39F-0BE1A45D8C0D}" type="pres">
      <dgm:prSet presAssocID="{EBB10BB4-18D6-4624-B975-ED30FB678C37}" presName="composite2" presStyleCnt="0"/>
      <dgm:spPr/>
    </dgm:pt>
    <dgm:pt modelId="{F598BD5B-DF2C-4D16-A042-9B937A6C4ED8}" type="pres">
      <dgm:prSet presAssocID="{EBB10BB4-18D6-4624-B975-ED30FB678C37}" presName="background2" presStyleLbl="node2" presStyleIdx="1" presStyleCnt="3"/>
      <dgm:spPr/>
    </dgm:pt>
    <dgm:pt modelId="{88493BC7-1C69-4CA2-9553-186BBC69CF89}" type="pres">
      <dgm:prSet presAssocID="{EBB10BB4-18D6-4624-B975-ED30FB678C37}" presName="text2" presStyleLbl="fgAcc2" presStyleIdx="1" presStyleCnt="3" custLinFactX="-24238" custLinFactNeighborX="-100000">
        <dgm:presLayoutVars>
          <dgm:chPref val="3"/>
        </dgm:presLayoutVars>
      </dgm:prSet>
      <dgm:spPr/>
      <dgm:t>
        <a:bodyPr/>
        <a:p>
          <a:endParaRPr lang="zh-CN" altLang="en-US"/>
        </a:p>
      </dgm:t>
    </dgm:pt>
    <dgm:pt modelId="{500326EC-245D-471E-A1A6-60A0E8A02929}" type="pres">
      <dgm:prSet presAssocID="{EBB10BB4-18D6-4624-B975-ED30FB678C37}" presName="hierChild3" presStyleCnt="0"/>
      <dgm:spPr/>
    </dgm:pt>
    <dgm:pt modelId="{136ACBBC-5984-4FD3-B3FE-70C300FF7A75}" type="pres">
      <dgm:prSet presAssocID="{2200A61F-AC61-4749-8A9B-6CC94CD32006}" presName="Name17" presStyleLbl="parChTrans1D3" presStyleIdx="2" presStyleCnt="6"/>
      <dgm:spPr/>
      <dgm:t>
        <a:bodyPr/>
        <a:p>
          <a:endParaRPr lang="zh-CN" altLang="en-US"/>
        </a:p>
      </dgm:t>
    </dgm:pt>
    <dgm:pt modelId="{AEAFE347-3AB1-44F6-879A-0BC158A4F579}" type="pres">
      <dgm:prSet presAssocID="{E385C848-2349-4B42-AD6B-46B793F60192}" presName="hierRoot3" presStyleCnt="0"/>
      <dgm:spPr/>
    </dgm:pt>
    <dgm:pt modelId="{8D7FD54B-26DD-4648-B592-F71D0679EB14}" type="pres">
      <dgm:prSet presAssocID="{E385C848-2349-4B42-AD6B-46B793F60192}" presName="composite3" presStyleCnt="0"/>
      <dgm:spPr/>
    </dgm:pt>
    <dgm:pt modelId="{4CA71CB7-F986-41E5-9E57-67FC0CA54B3D}" type="pres">
      <dgm:prSet presAssocID="{E385C848-2349-4B42-AD6B-46B793F60192}" presName="background3" presStyleLbl="node3" presStyleIdx="2" presStyleCnt="6"/>
      <dgm:spPr/>
    </dgm:pt>
    <dgm:pt modelId="{D12D2D11-C2EB-464F-95CF-A7265DCF5034}" type="pres">
      <dgm:prSet presAssocID="{E385C848-2349-4B42-AD6B-46B793F60192}" presName="text3" presStyleLbl="fgAcc3" presStyleIdx="2" presStyleCnt="6">
        <dgm:presLayoutVars>
          <dgm:chPref val="3"/>
        </dgm:presLayoutVars>
      </dgm:prSet>
      <dgm:spPr/>
      <dgm:t>
        <a:bodyPr/>
        <a:p>
          <a:endParaRPr lang="zh-CN" altLang="en-US"/>
        </a:p>
      </dgm:t>
    </dgm:pt>
    <dgm:pt modelId="{560652B7-724F-4B5F-9BAA-BAC5863B0850}" type="pres">
      <dgm:prSet presAssocID="{E385C848-2349-4B42-AD6B-46B793F60192}" presName="hierChild4" presStyleCnt="0"/>
      <dgm:spPr/>
    </dgm:pt>
    <dgm:pt modelId="{60791E90-CB2C-4A1B-B921-B321252F67AA}" type="pres">
      <dgm:prSet presAssocID="{9CC7EDF0-6EE7-451F-A6EF-D4F259BB8192}" presName="Name23" presStyleLbl="parChTrans1D4" presStyleIdx="2" presStyleCnt="6"/>
      <dgm:spPr/>
      <dgm:t>
        <a:bodyPr/>
        <a:p>
          <a:endParaRPr lang="zh-CN" altLang="en-US"/>
        </a:p>
      </dgm:t>
    </dgm:pt>
    <dgm:pt modelId="{40BA76D6-DABD-4C69-87BA-F1750DE063FE}" type="pres">
      <dgm:prSet presAssocID="{FC50CB99-04EC-46F8-9CDB-1CCF12BA544A}" presName="hierRoot4" presStyleCnt="0"/>
      <dgm:spPr/>
    </dgm:pt>
    <dgm:pt modelId="{141D3E92-12FC-4552-8876-302CEB8DAF12}" type="pres">
      <dgm:prSet presAssocID="{FC50CB99-04EC-46F8-9CDB-1CCF12BA544A}" presName="composite4" presStyleCnt="0"/>
      <dgm:spPr/>
    </dgm:pt>
    <dgm:pt modelId="{0C1637C2-1E61-4EA9-B3BD-43D4AC10DC16}" type="pres">
      <dgm:prSet presAssocID="{FC50CB99-04EC-46F8-9CDB-1CCF12BA544A}" presName="background4" presStyleLbl="node4" presStyleIdx="2" presStyleCnt="6"/>
      <dgm:spPr/>
    </dgm:pt>
    <dgm:pt modelId="{DC0255C0-A383-4D4F-9B7B-2989E72B4236}" type="pres">
      <dgm:prSet presAssocID="{FC50CB99-04EC-46F8-9CDB-1CCF12BA544A}" presName="text4" presStyleLbl="fgAcc4" presStyleIdx="2" presStyleCnt="6">
        <dgm:presLayoutVars>
          <dgm:chPref val="3"/>
        </dgm:presLayoutVars>
      </dgm:prSet>
      <dgm:spPr/>
      <dgm:t>
        <a:bodyPr/>
        <a:p>
          <a:endParaRPr lang="zh-CN" altLang="en-US"/>
        </a:p>
      </dgm:t>
    </dgm:pt>
    <dgm:pt modelId="{B5626A5A-823E-49F8-AF00-CEF77D0F88C9}" type="pres">
      <dgm:prSet presAssocID="{FC50CB99-04EC-46F8-9CDB-1CCF12BA544A}" presName="hierChild5" presStyleCnt="0"/>
      <dgm:spPr/>
    </dgm:pt>
    <dgm:pt modelId="{82992059-7FFC-472A-8713-E776418A8E11}" type="pres">
      <dgm:prSet presAssocID="{DB67E893-703E-41D5-806E-D6E3B89C42C1}" presName="Name17" presStyleLbl="parChTrans1D3" presStyleIdx="3" presStyleCnt="6"/>
      <dgm:spPr/>
      <dgm:t>
        <a:bodyPr/>
        <a:p>
          <a:endParaRPr lang="zh-CN" altLang="en-US"/>
        </a:p>
      </dgm:t>
    </dgm:pt>
    <dgm:pt modelId="{3EB8B8D8-562F-4064-82AB-8648706BFA05}" type="pres">
      <dgm:prSet presAssocID="{E34CF413-06AF-4216-80C7-D0EACED0F8CD}" presName="hierRoot3" presStyleCnt="0"/>
      <dgm:spPr/>
    </dgm:pt>
    <dgm:pt modelId="{A5E5F095-3765-48CD-82E1-8C4FEA0CE3B3}" type="pres">
      <dgm:prSet presAssocID="{E34CF413-06AF-4216-80C7-D0EACED0F8CD}" presName="composite3" presStyleCnt="0"/>
      <dgm:spPr/>
    </dgm:pt>
    <dgm:pt modelId="{8E351BBA-47DE-4CEE-895C-51B0EAFF5DE9}" type="pres">
      <dgm:prSet presAssocID="{E34CF413-06AF-4216-80C7-D0EACED0F8CD}" presName="background3" presStyleLbl="node3" presStyleIdx="3" presStyleCnt="6"/>
      <dgm:spPr/>
    </dgm:pt>
    <dgm:pt modelId="{79735352-4868-4596-8CBD-C2A8F9F9E28D}" type="pres">
      <dgm:prSet presAssocID="{E34CF413-06AF-4216-80C7-D0EACED0F8CD}" presName="text3" presStyleLbl="fgAcc3" presStyleIdx="3" presStyleCnt="6">
        <dgm:presLayoutVars>
          <dgm:chPref val="3"/>
        </dgm:presLayoutVars>
      </dgm:prSet>
      <dgm:spPr/>
      <dgm:t>
        <a:bodyPr/>
        <a:p>
          <a:endParaRPr lang="zh-CN" altLang="en-US"/>
        </a:p>
      </dgm:t>
    </dgm:pt>
    <dgm:pt modelId="{ED71B22C-C8C7-49BA-8B14-0E24B5FD3E9D}" type="pres">
      <dgm:prSet presAssocID="{E34CF413-06AF-4216-80C7-D0EACED0F8CD}" presName="hierChild4" presStyleCnt="0"/>
      <dgm:spPr/>
    </dgm:pt>
    <dgm:pt modelId="{846AFB2B-2650-4878-84F9-55A7970A44DA}" type="pres">
      <dgm:prSet presAssocID="{0E52D0AC-FB29-4C1B-BAB6-BA4AE034DB0C}" presName="Name23" presStyleLbl="parChTrans1D4" presStyleIdx="3" presStyleCnt="6"/>
      <dgm:spPr/>
      <dgm:t>
        <a:bodyPr/>
        <a:p>
          <a:endParaRPr lang="zh-CN" altLang="en-US"/>
        </a:p>
      </dgm:t>
    </dgm:pt>
    <dgm:pt modelId="{E8213CD8-A218-4DAB-A798-058DFB26F61C}" type="pres">
      <dgm:prSet presAssocID="{EEDD6EC2-6121-4E80-A092-899E26BAF9AB}" presName="hierRoot4" presStyleCnt="0"/>
      <dgm:spPr/>
    </dgm:pt>
    <dgm:pt modelId="{923F18C7-B714-42B1-BB78-05A1F2C43FD0}" type="pres">
      <dgm:prSet presAssocID="{EEDD6EC2-6121-4E80-A092-899E26BAF9AB}" presName="composite4" presStyleCnt="0"/>
      <dgm:spPr/>
    </dgm:pt>
    <dgm:pt modelId="{A54ED921-6CA9-4BC2-A53E-38BB0EB44E53}" type="pres">
      <dgm:prSet presAssocID="{EEDD6EC2-6121-4E80-A092-899E26BAF9AB}" presName="background4" presStyleLbl="node4" presStyleIdx="3" presStyleCnt="6"/>
      <dgm:spPr/>
    </dgm:pt>
    <dgm:pt modelId="{F8360923-A999-477F-A12D-D6EB6F2B9227}" type="pres">
      <dgm:prSet presAssocID="{EEDD6EC2-6121-4E80-A092-899E26BAF9AB}" presName="text4" presStyleLbl="fgAcc4" presStyleIdx="3" presStyleCnt="6">
        <dgm:presLayoutVars>
          <dgm:chPref val="3"/>
        </dgm:presLayoutVars>
      </dgm:prSet>
      <dgm:spPr/>
      <dgm:t>
        <a:bodyPr/>
        <a:p>
          <a:endParaRPr lang="zh-CN" altLang="en-US"/>
        </a:p>
      </dgm:t>
    </dgm:pt>
    <dgm:pt modelId="{6066D8E6-9823-41E1-98B6-6847F5F69A94}" type="pres">
      <dgm:prSet presAssocID="{EEDD6EC2-6121-4E80-A092-899E26BAF9AB}" presName="hierChild5" presStyleCnt="0"/>
      <dgm:spPr/>
    </dgm:pt>
    <dgm:pt modelId="{DCC93724-DEA5-4EAE-AFE1-D1D256EF4F96}" type="pres">
      <dgm:prSet presAssocID="{8C73EDAD-0FFD-4A97-9194-A833E8785434}" presName="Name17" presStyleLbl="parChTrans1D3" presStyleIdx="4" presStyleCnt="6"/>
      <dgm:spPr/>
      <dgm:t>
        <a:bodyPr/>
        <a:p>
          <a:endParaRPr lang="zh-CN" altLang="en-US"/>
        </a:p>
      </dgm:t>
    </dgm:pt>
    <dgm:pt modelId="{4BA2CFF2-7AA0-4FAE-96F7-8714F4A0552C}" type="pres">
      <dgm:prSet presAssocID="{91995D9A-E614-409C-AF96-C2FFA3AF7F96}" presName="hierRoot3" presStyleCnt="0"/>
      <dgm:spPr/>
    </dgm:pt>
    <dgm:pt modelId="{562E3540-8539-439A-ACE1-B321E95649A1}" type="pres">
      <dgm:prSet presAssocID="{91995D9A-E614-409C-AF96-C2FFA3AF7F96}" presName="composite3" presStyleCnt="0"/>
      <dgm:spPr/>
    </dgm:pt>
    <dgm:pt modelId="{6EB6EE4D-B988-478E-A8DE-43B2441A4B6C}" type="pres">
      <dgm:prSet presAssocID="{91995D9A-E614-409C-AF96-C2FFA3AF7F96}" presName="background3" presStyleLbl="node3" presStyleIdx="4" presStyleCnt="6"/>
      <dgm:spPr/>
    </dgm:pt>
    <dgm:pt modelId="{0E9B1D58-BAFE-4C69-8B94-2B5E92F609DA}" type="pres">
      <dgm:prSet presAssocID="{91995D9A-E614-409C-AF96-C2FFA3AF7F96}" presName="text3" presStyleLbl="fgAcc3" presStyleIdx="4" presStyleCnt="6">
        <dgm:presLayoutVars>
          <dgm:chPref val="3"/>
        </dgm:presLayoutVars>
      </dgm:prSet>
      <dgm:spPr/>
      <dgm:t>
        <a:bodyPr/>
        <a:p>
          <a:endParaRPr lang="zh-CN" altLang="en-US"/>
        </a:p>
      </dgm:t>
    </dgm:pt>
    <dgm:pt modelId="{D9019186-5097-4C64-B3A8-59FCA0D41D1E}" type="pres">
      <dgm:prSet presAssocID="{91995D9A-E614-409C-AF96-C2FFA3AF7F96}" presName="hierChild4" presStyleCnt="0"/>
      <dgm:spPr/>
    </dgm:pt>
    <dgm:pt modelId="{5532D6EF-8428-43CC-8229-26A0203EAC5C}" type="pres">
      <dgm:prSet presAssocID="{19269D5A-84F1-46AC-965A-D40DD3B733AB}" presName="Name23" presStyleLbl="parChTrans1D4" presStyleIdx="4" presStyleCnt="6"/>
      <dgm:spPr/>
      <dgm:t>
        <a:bodyPr/>
        <a:p>
          <a:endParaRPr lang="zh-CN" altLang="en-US"/>
        </a:p>
      </dgm:t>
    </dgm:pt>
    <dgm:pt modelId="{A342B5C3-A8AF-431C-B64C-447A8DA515EE}" type="pres">
      <dgm:prSet presAssocID="{B00B05C7-0FB3-466C-AC4C-55ED918CCBE6}" presName="hierRoot4" presStyleCnt="0"/>
      <dgm:spPr/>
    </dgm:pt>
    <dgm:pt modelId="{737653AA-C96B-462F-9C91-7FB59E22EDC5}" type="pres">
      <dgm:prSet presAssocID="{B00B05C7-0FB3-466C-AC4C-55ED918CCBE6}" presName="composite4" presStyleCnt="0"/>
      <dgm:spPr/>
    </dgm:pt>
    <dgm:pt modelId="{F893CBA9-6DD3-495A-BAFC-5457AE393159}" type="pres">
      <dgm:prSet presAssocID="{B00B05C7-0FB3-466C-AC4C-55ED918CCBE6}" presName="background4" presStyleLbl="node4" presStyleIdx="4" presStyleCnt="6"/>
      <dgm:spPr/>
    </dgm:pt>
    <dgm:pt modelId="{E0BE98E3-A4AB-4918-8F89-7496DCE2BE48}" type="pres">
      <dgm:prSet presAssocID="{B00B05C7-0FB3-466C-AC4C-55ED918CCBE6}" presName="text4" presStyleLbl="fgAcc4" presStyleIdx="4" presStyleCnt="6">
        <dgm:presLayoutVars>
          <dgm:chPref val="3"/>
        </dgm:presLayoutVars>
      </dgm:prSet>
      <dgm:spPr/>
      <dgm:t>
        <a:bodyPr/>
        <a:p>
          <a:endParaRPr lang="zh-CN" altLang="en-US"/>
        </a:p>
      </dgm:t>
    </dgm:pt>
    <dgm:pt modelId="{244FA748-219E-4490-9BBD-C1694CCA5A01}" type="pres">
      <dgm:prSet presAssocID="{B00B05C7-0FB3-466C-AC4C-55ED918CCBE6}" presName="hierChild5" presStyleCnt="0"/>
      <dgm:spPr/>
    </dgm:pt>
    <dgm:pt modelId="{18AB2D3E-73A5-4C4E-A7E8-2F567F94D2C1}" type="pres">
      <dgm:prSet presAssocID="{E3F8094C-662D-49D0-885F-F043869CD32F}" presName="Name17" presStyleLbl="parChTrans1D3" presStyleIdx="5" presStyleCnt="6"/>
      <dgm:spPr/>
      <dgm:t>
        <a:bodyPr/>
        <a:p>
          <a:endParaRPr lang="zh-CN" altLang="en-US"/>
        </a:p>
      </dgm:t>
    </dgm:pt>
    <dgm:pt modelId="{AD68E08A-4558-4468-BCBB-7DD3AC7BC685}" type="pres">
      <dgm:prSet presAssocID="{CBBC3C41-B13C-4971-A5D2-EB1E40253C63}" presName="hierRoot3" presStyleCnt="0"/>
      <dgm:spPr/>
    </dgm:pt>
    <dgm:pt modelId="{7DADFA14-E3B2-41BF-BBAF-768F646D8830}" type="pres">
      <dgm:prSet presAssocID="{CBBC3C41-B13C-4971-A5D2-EB1E40253C63}" presName="composite3" presStyleCnt="0"/>
      <dgm:spPr/>
    </dgm:pt>
    <dgm:pt modelId="{37E4C105-888D-4895-8948-4CD92D2A99F2}" type="pres">
      <dgm:prSet presAssocID="{CBBC3C41-B13C-4971-A5D2-EB1E40253C63}" presName="background3" presStyleLbl="node3" presStyleIdx="5" presStyleCnt="6"/>
      <dgm:spPr/>
    </dgm:pt>
    <dgm:pt modelId="{F6C61906-4F34-4D24-A2C8-EBA0FEB84827}" type="pres">
      <dgm:prSet presAssocID="{CBBC3C41-B13C-4971-A5D2-EB1E40253C63}" presName="text3" presStyleLbl="fgAcc3" presStyleIdx="5" presStyleCnt="6">
        <dgm:presLayoutVars>
          <dgm:chPref val="3"/>
        </dgm:presLayoutVars>
      </dgm:prSet>
      <dgm:spPr/>
      <dgm:t>
        <a:bodyPr/>
        <a:p>
          <a:endParaRPr lang="zh-CN" altLang="en-US"/>
        </a:p>
      </dgm:t>
    </dgm:pt>
    <dgm:pt modelId="{56702FAE-F3D4-42D9-BA22-E963A6862328}" type="pres">
      <dgm:prSet presAssocID="{CBBC3C41-B13C-4971-A5D2-EB1E40253C63}" presName="hierChild4" presStyleCnt="0"/>
      <dgm:spPr/>
    </dgm:pt>
    <dgm:pt modelId="{314FD2D5-F58F-4874-B5E0-144F899E8CAC}" type="pres">
      <dgm:prSet presAssocID="{EC74CE76-880F-4E31-B967-B6E8B3E37B69}" presName="Name23" presStyleLbl="parChTrans1D4" presStyleIdx="5" presStyleCnt="6"/>
      <dgm:spPr/>
      <dgm:t>
        <a:bodyPr/>
        <a:p>
          <a:endParaRPr lang="zh-CN" altLang="en-US"/>
        </a:p>
      </dgm:t>
    </dgm:pt>
    <dgm:pt modelId="{25FF30B8-460C-4FB3-90A8-82E7ECAD29E9}" type="pres">
      <dgm:prSet presAssocID="{54A2BE29-9FE8-4E61-9404-61AA60919E74}" presName="hierRoot4" presStyleCnt="0"/>
      <dgm:spPr/>
    </dgm:pt>
    <dgm:pt modelId="{B5E381E8-DD98-49E9-B041-C0E8B733B51C}" type="pres">
      <dgm:prSet presAssocID="{54A2BE29-9FE8-4E61-9404-61AA60919E74}" presName="composite4" presStyleCnt="0"/>
      <dgm:spPr/>
    </dgm:pt>
    <dgm:pt modelId="{2BC8FD62-CAF3-4187-A828-699FAF818EE5}" type="pres">
      <dgm:prSet presAssocID="{54A2BE29-9FE8-4E61-9404-61AA60919E74}" presName="background4" presStyleLbl="node4" presStyleIdx="5" presStyleCnt="6"/>
      <dgm:spPr/>
    </dgm:pt>
    <dgm:pt modelId="{00D60342-D2D7-41E3-89CA-3CD3D2F9D8C9}" type="pres">
      <dgm:prSet presAssocID="{54A2BE29-9FE8-4E61-9404-61AA60919E74}" presName="text4" presStyleLbl="fgAcc4" presStyleIdx="5" presStyleCnt="6">
        <dgm:presLayoutVars>
          <dgm:chPref val="3"/>
        </dgm:presLayoutVars>
      </dgm:prSet>
      <dgm:spPr/>
      <dgm:t>
        <a:bodyPr/>
        <a:p>
          <a:endParaRPr lang="zh-CN" altLang="en-US"/>
        </a:p>
      </dgm:t>
    </dgm:pt>
    <dgm:pt modelId="{546071DA-3E61-4E40-A700-D610C4058339}" type="pres">
      <dgm:prSet presAssocID="{54A2BE29-9FE8-4E61-9404-61AA60919E74}" presName="hierChild5" presStyleCnt="0"/>
      <dgm:spPr/>
    </dgm:pt>
    <dgm:pt modelId="{722410FF-A64C-474B-A50F-47F808100200}" type="pres">
      <dgm:prSet presAssocID="{E48F0FA5-A821-461D-AE1F-78BC2BB969A5}" presName="Name10" presStyleLbl="parChTrans1D2" presStyleIdx="2" presStyleCnt="3"/>
      <dgm:spPr/>
      <dgm:t>
        <a:bodyPr/>
        <a:p>
          <a:endParaRPr lang="zh-CN" altLang="en-US"/>
        </a:p>
      </dgm:t>
    </dgm:pt>
    <dgm:pt modelId="{C8371808-511D-40C7-926D-53086999FC95}" type="pres">
      <dgm:prSet presAssocID="{6348BF54-9745-4851-BCBC-EFB469D5493E}" presName="hierRoot2" presStyleCnt="0"/>
      <dgm:spPr/>
    </dgm:pt>
    <dgm:pt modelId="{1F85275D-E2A5-4F6E-84D7-FC67EA2E95A7}" type="pres">
      <dgm:prSet presAssocID="{6348BF54-9745-4851-BCBC-EFB469D5493E}" presName="composite2" presStyleCnt="0"/>
      <dgm:spPr/>
    </dgm:pt>
    <dgm:pt modelId="{F89D23B0-F5FF-4A5E-BA94-FD295387131F}" type="pres">
      <dgm:prSet presAssocID="{6348BF54-9745-4851-BCBC-EFB469D5493E}" presName="background2" presStyleLbl="node2" presStyleIdx="2" presStyleCnt="3"/>
      <dgm:spPr/>
    </dgm:pt>
    <dgm:pt modelId="{5E46F988-5D48-46A5-86BB-C8E82B90C65F}" type="pres">
      <dgm:prSet presAssocID="{6348BF54-9745-4851-BCBC-EFB469D5493E}" presName="text2" presStyleLbl="fgAcc2" presStyleIdx="2" presStyleCnt="3">
        <dgm:presLayoutVars>
          <dgm:chPref val="3"/>
        </dgm:presLayoutVars>
      </dgm:prSet>
      <dgm:spPr/>
      <dgm:t>
        <a:bodyPr/>
        <a:p>
          <a:endParaRPr lang="zh-CN" altLang="en-US"/>
        </a:p>
      </dgm:t>
    </dgm:pt>
    <dgm:pt modelId="{8EE0251C-71AB-4A94-85F6-8CC056919E0F}" type="pres">
      <dgm:prSet presAssocID="{6348BF54-9745-4851-BCBC-EFB469D5493E}" presName="hierChild3" presStyleCnt="0"/>
      <dgm:spPr/>
    </dgm:pt>
  </dgm:ptLst>
  <dgm:cxnLst>
    <dgm:cxn modelId="{FCD54B51-6192-46BE-8C67-3D7376DCBA85}" srcId="{9FD406D6-7871-4711-9551-5C8130BCB999}" destId="{6348BF54-9745-4851-BCBC-EFB469D5493E}" srcOrd="2" destOrd="0" parTransId="{E48F0FA5-A821-461D-AE1F-78BC2BB969A5}" sibTransId="{D193B8C8-E34F-4B15-8188-DCCC89091D92}"/>
    <dgm:cxn modelId="{1AAD914C-4022-4AE2-BBC5-B41B6A67AA39}" type="presOf" srcId="{CBBC3C41-B13C-4971-A5D2-EB1E40253C63}" destId="{F6C61906-4F34-4D24-A2C8-EBA0FEB84827}" srcOrd="0" destOrd="0" presId="urn:microsoft.com/office/officeart/2005/8/layout/hierarchy1"/>
    <dgm:cxn modelId="{0EBCE65A-92BE-4B04-99E7-D32882721E26}" srcId="{CBBC3C41-B13C-4971-A5D2-EB1E40253C63}" destId="{54A2BE29-9FE8-4E61-9404-61AA60919E74}" srcOrd="0" destOrd="0" parTransId="{EC74CE76-880F-4E31-B967-B6E8B3E37B69}" sibTransId="{455237C6-3BF6-4D7B-A1BA-72131CE29889}"/>
    <dgm:cxn modelId="{4787162D-2C5F-4D3F-AE3C-7FB6DA28123B}" srcId="{E1433058-BC6A-4EDF-8C39-2BEBC9291116}" destId="{DF78DDBA-F3A6-4E53-B606-2EE3EF211C9C}" srcOrd="0" destOrd="0" parTransId="{DA006708-D741-4B68-8007-B637E38E6749}" sibTransId="{32A6E681-BF40-4082-9726-3198D7D70CB2}"/>
    <dgm:cxn modelId="{B2000E69-869F-4317-8A9F-29E6DB5E0867}" type="presOf" srcId="{17C230BC-152B-43F2-A769-8BD26A8B3791}" destId="{4E3C5385-9B6F-4D64-8FDC-A88B9ADA7565}" srcOrd="0" destOrd="0" presId="urn:microsoft.com/office/officeart/2005/8/layout/hierarchy1"/>
    <dgm:cxn modelId="{9F5C5A0B-43D8-48F2-AD26-13F9D13AD33D}" type="presOf" srcId="{E385C848-2349-4B42-AD6B-46B793F60192}" destId="{D12D2D11-C2EB-464F-95CF-A7265DCF5034}" srcOrd="0" destOrd="0" presId="urn:microsoft.com/office/officeart/2005/8/layout/hierarchy1"/>
    <dgm:cxn modelId="{E5A45842-CDDE-4C04-8D97-D8F83F8019D4}" srcId="{91995D9A-E614-409C-AF96-C2FFA3AF7F96}" destId="{B00B05C7-0FB3-466C-AC4C-55ED918CCBE6}" srcOrd="0" destOrd="0" parTransId="{19269D5A-84F1-46AC-965A-D40DD3B733AB}" sibTransId="{6D84D61F-10AB-45B1-B7AF-A68360F32176}"/>
    <dgm:cxn modelId="{9E55B017-AAEA-4BC7-B4C7-A623AF08A42F}" type="presOf" srcId="{8C73EDAD-0FFD-4A97-9194-A833E8785434}" destId="{DCC93724-DEA5-4EAE-AFE1-D1D256EF4F96}" srcOrd="0" destOrd="0" presId="urn:microsoft.com/office/officeart/2005/8/layout/hierarchy1"/>
    <dgm:cxn modelId="{4EDAEFF7-7D42-4BDE-A741-A66094A461DB}" type="presOf" srcId="{DB67E893-703E-41D5-806E-D6E3B89C42C1}" destId="{82992059-7FFC-472A-8713-E776418A8E11}" srcOrd="0" destOrd="0" presId="urn:microsoft.com/office/officeart/2005/8/layout/hierarchy1"/>
    <dgm:cxn modelId="{DE1BE2AF-E5DC-497B-9A62-3D6F95E920D0}" type="presOf" srcId="{DA006708-D741-4B68-8007-B637E38E6749}" destId="{845A53A7-8CA2-44B0-91DB-D7C67D606E5C}" srcOrd="0" destOrd="0" presId="urn:microsoft.com/office/officeart/2005/8/layout/hierarchy1"/>
    <dgm:cxn modelId="{42C52743-8241-4745-A955-6E15435FBB49}" type="presOf" srcId="{F922E4CA-86B5-4295-948C-D773BFCC602E}" destId="{A3AA923F-8FE2-4C53-9325-68082BA92892}" srcOrd="0" destOrd="0" presId="urn:microsoft.com/office/officeart/2005/8/layout/hierarchy1"/>
    <dgm:cxn modelId="{397089AD-3C42-476D-9CDF-527C3367EFA4}" srcId="{3F578F6D-5C2B-45B1-A489-1D1F8DE5CAAA}" destId="{F922E4CA-86B5-4295-948C-D773BFCC602E}" srcOrd="1" destOrd="0" parTransId="{C9F687F1-F3AD-44B2-A8F8-19EFE1A89385}" sibTransId="{8EC5D786-A6BD-48C7-8452-6C9A38CEF4FD}"/>
    <dgm:cxn modelId="{C3E6A73A-3297-4167-8FB9-C342C26F279B}" type="presOf" srcId="{FC50CB99-04EC-46F8-9CDB-1CCF12BA544A}" destId="{DC0255C0-A383-4D4F-9B7B-2989E72B4236}" srcOrd="0" destOrd="0" presId="urn:microsoft.com/office/officeart/2005/8/layout/hierarchy1"/>
    <dgm:cxn modelId="{07DA2D3D-E7F5-47CB-A463-BC836BD05890}" type="presOf" srcId="{E48F0FA5-A821-461D-AE1F-78BC2BB969A5}" destId="{722410FF-A64C-474B-A50F-47F808100200}" srcOrd="0" destOrd="0" presId="urn:microsoft.com/office/officeart/2005/8/layout/hierarchy1"/>
    <dgm:cxn modelId="{B83677DD-DE48-4D62-865C-6D16FB123FDA}" type="presOf" srcId="{EBB10BB4-18D6-4624-B975-ED30FB678C37}" destId="{88493BC7-1C69-4CA2-9553-186BBC69CF89}" srcOrd="0" destOrd="0" presId="urn:microsoft.com/office/officeart/2005/8/layout/hierarchy1"/>
    <dgm:cxn modelId="{CF23067E-126C-4A36-B7C4-D0FE0426CD7B}" type="presOf" srcId="{91995D9A-E614-409C-AF96-C2FFA3AF7F96}" destId="{0E9B1D58-BAFE-4C69-8B94-2B5E92F609DA}" srcOrd="0" destOrd="0" presId="urn:microsoft.com/office/officeart/2005/8/layout/hierarchy1"/>
    <dgm:cxn modelId="{244F91E7-E96F-42EA-B181-F177B5D8EB8C}" type="presOf" srcId="{8FCE6E8E-21E0-455C-9A5B-174578526CB4}" destId="{53376C9F-2E02-4B2C-85EC-77A083A01A2D}" srcOrd="0" destOrd="0" presId="urn:microsoft.com/office/officeart/2005/8/layout/hierarchy1"/>
    <dgm:cxn modelId="{229AA2FB-B1FB-4A91-8C71-AF91E0533345}" type="presOf" srcId="{6348BF54-9745-4851-BCBC-EFB469D5493E}" destId="{5E46F988-5D48-46A5-86BB-C8E82B90C65F}" srcOrd="0" destOrd="0" presId="urn:microsoft.com/office/officeart/2005/8/layout/hierarchy1"/>
    <dgm:cxn modelId="{05AB0CFF-3642-4781-BC9B-99686D1552A5}" type="presOf" srcId="{DF78DDBA-F3A6-4E53-B606-2EE3EF211C9C}" destId="{7C3C2C9C-02F5-4D04-9F10-9B1D7CA60102}" srcOrd="0" destOrd="0" presId="urn:microsoft.com/office/officeart/2005/8/layout/hierarchy1"/>
    <dgm:cxn modelId="{13B4DB07-FB16-4F0C-90FF-C6803875CD94}" type="presOf" srcId="{0E52D0AC-FB29-4C1B-BAB6-BA4AE034DB0C}" destId="{846AFB2B-2650-4878-84F9-55A7970A44DA}" srcOrd="0" destOrd="0" presId="urn:microsoft.com/office/officeart/2005/8/layout/hierarchy1"/>
    <dgm:cxn modelId="{0679E844-862D-4BCF-82B8-34C9E59AB3C2}" type="presOf" srcId="{B00B05C7-0FB3-466C-AC4C-55ED918CCBE6}" destId="{E0BE98E3-A4AB-4918-8F89-7496DCE2BE48}" srcOrd="0" destOrd="0" presId="urn:microsoft.com/office/officeart/2005/8/layout/hierarchy1"/>
    <dgm:cxn modelId="{6B48DCA8-4A95-4FD9-86E4-8526336F92AC}" srcId="{8FCE6E8E-21E0-455C-9A5B-174578526CB4}" destId="{9FD406D6-7871-4711-9551-5C8130BCB999}" srcOrd="0" destOrd="0" parTransId="{AA7EC911-92A5-4BFF-8EDF-BA92E116FB4C}" sibTransId="{6ABC433D-4DB3-4948-ADF9-2A96913D13CB}"/>
    <dgm:cxn modelId="{536CB464-3440-4F96-805E-52F34CB72BD8}" type="presOf" srcId="{9FD406D6-7871-4711-9551-5C8130BCB999}" destId="{8016D8CA-ED9B-453B-BCE7-322F9DD20689}" srcOrd="0" destOrd="0" presId="urn:microsoft.com/office/officeart/2005/8/layout/hierarchy1"/>
    <dgm:cxn modelId="{3050DF50-44B5-4A4F-BA6D-7B1DD16FBF8B}" type="presOf" srcId="{E34CF413-06AF-4216-80C7-D0EACED0F8CD}" destId="{79735352-4868-4596-8CBD-C2A8F9F9E28D}" srcOrd="0" destOrd="0" presId="urn:microsoft.com/office/officeart/2005/8/layout/hierarchy1"/>
    <dgm:cxn modelId="{1B1A4EDE-D193-49AB-882C-C371A8A63F6E}" srcId="{3F578F6D-5C2B-45B1-A489-1D1F8DE5CAAA}" destId="{E1433058-BC6A-4EDF-8C39-2BEBC9291116}" srcOrd="0" destOrd="0" parTransId="{53CCDD64-E828-4A58-B056-16532F132B5D}" sibTransId="{0B612F31-4619-4E15-995E-09C2F359191A}"/>
    <dgm:cxn modelId="{215CAD91-59DA-4078-AD79-30EBF4B54157}" srcId="{EBB10BB4-18D6-4624-B975-ED30FB678C37}" destId="{E385C848-2349-4B42-AD6B-46B793F60192}" srcOrd="0" destOrd="0" parTransId="{2200A61F-AC61-4749-8A9B-6CC94CD32006}" sibTransId="{78F299B9-643F-4F5F-9715-19CFCB731859}"/>
    <dgm:cxn modelId="{F6429BF2-C1EE-42A2-A25A-65F0277B9DC4}" srcId="{EBB10BB4-18D6-4624-B975-ED30FB678C37}" destId="{CBBC3C41-B13C-4971-A5D2-EB1E40253C63}" srcOrd="3" destOrd="0" parTransId="{E3F8094C-662D-49D0-885F-F043869CD32F}" sibTransId="{5C78D340-E6BC-4E4C-A0D8-C4AF8BFEF68E}"/>
    <dgm:cxn modelId="{82284B5C-9528-48CE-A32C-9A9E1C222CC7}" type="presOf" srcId="{19269D5A-84F1-46AC-965A-D40DD3B733AB}" destId="{5532D6EF-8428-43CC-8229-26A0203EAC5C}" srcOrd="0" destOrd="0" presId="urn:microsoft.com/office/officeart/2005/8/layout/hierarchy1"/>
    <dgm:cxn modelId="{ECAF1349-1FD9-4003-A7FE-2C2CACF44615}" srcId="{EBB10BB4-18D6-4624-B975-ED30FB678C37}" destId="{91995D9A-E614-409C-AF96-C2FFA3AF7F96}" srcOrd="2" destOrd="0" parTransId="{8C73EDAD-0FFD-4A97-9194-A833E8785434}" sibTransId="{24D18DAB-5551-47E6-A011-B939C0B202CF}"/>
    <dgm:cxn modelId="{52EE1A27-CAB8-421C-BD5B-6CD821FCF351}" type="presOf" srcId="{54A2BE29-9FE8-4E61-9404-61AA60919E74}" destId="{00D60342-D2D7-41E3-89CA-3CD3D2F9D8C9}" srcOrd="0" destOrd="0" presId="urn:microsoft.com/office/officeart/2005/8/layout/hierarchy1"/>
    <dgm:cxn modelId="{BF6136AF-E19D-4C10-9EF7-1FBA99C2D187}" type="presOf" srcId="{F5105DCE-BC82-464A-B633-965A2C81C69F}" destId="{470A9858-0142-451E-81DF-1ED289BCB7E2}" srcOrd="0" destOrd="0" presId="urn:microsoft.com/office/officeart/2005/8/layout/hierarchy1"/>
    <dgm:cxn modelId="{2B7F97D5-D56D-48C4-859B-DEBBBBF45D31}" type="presOf" srcId="{6274783B-DF3D-4726-B295-4DDF791D53EC}" destId="{1F22A2A1-968F-4F4A-AF3F-94C2F70DF3C0}" srcOrd="0" destOrd="0" presId="urn:microsoft.com/office/officeart/2005/8/layout/hierarchy1"/>
    <dgm:cxn modelId="{EB830790-12C1-4EF6-8299-E357BA71BD19}" type="presOf" srcId="{EC74CE76-880F-4E31-B967-B6E8B3E37B69}" destId="{314FD2D5-F58F-4874-B5E0-144F899E8CAC}" srcOrd="0" destOrd="0" presId="urn:microsoft.com/office/officeart/2005/8/layout/hierarchy1"/>
    <dgm:cxn modelId="{BEBF4604-84A6-4BDD-95D4-D6BA7BFC713B}" srcId="{9FD406D6-7871-4711-9551-5C8130BCB999}" destId="{3F578F6D-5C2B-45B1-A489-1D1F8DE5CAAA}" srcOrd="0" destOrd="0" parTransId="{6274783B-DF3D-4726-B295-4DDF791D53EC}" sibTransId="{B9E39CA2-98DD-44EF-9C62-A16E5160B9A9}"/>
    <dgm:cxn modelId="{5BE24B91-2B23-4426-9638-9D29009490EB}" type="presOf" srcId="{9CC7EDF0-6EE7-451F-A6EF-D4F259BB8192}" destId="{60791E90-CB2C-4A1B-B921-B321252F67AA}" srcOrd="0" destOrd="0" presId="urn:microsoft.com/office/officeart/2005/8/layout/hierarchy1"/>
    <dgm:cxn modelId="{C9953BBA-F0A1-43BB-9030-BFC5CA0397B4}" srcId="{9FD406D6-7871-4711-9551-5C8130BCB999}" destId="{EBB10BB4-18D6-4624-B975-ED30FB678C37}" srcOrd="1" destOrd="0" parTransId="{6D06400F-073C-4165-989C-E11E7CBE9D97}" sibTransId="{D061BC52-73FA-47B6-8BEF-FD39242A679C}"/>
    <dgm:cxn modelId="{98208C71-98A8-4D0B-BE6F-921702F0B38E}" type="presOf" srcId="{53CCDD64-E828-4A58-B056-16532F132B5D}" destId="{DF914B44-3803-42B4-A85B-2146661491BD}" srcOrd="0" destOrd="0" presId="urn:microsoft.com/office/officeart/2005/8/layout/hierarchy1"/>
    <dgm:cxn modelId="{2175E614-E23B-4663-B400-E55AE9280B92}" type="presOf" srcId="{C9F687F1-F3AD-44B2-A8F8-19EFE1A89385}" destId="{DF739D99-1C35-49AE-8CFE-829B4E806F6A}" srcOrd="0" destOrd="0" presId="urn:microsoft.com/office/officeart/2005/8/layout/hierarchy1"/>
    <dgm:cxn modelId="{2532E317-3CCD-4064-8574-EE934714E011}" type="presOf" srcId="{E1433058-BC6A-4EDF-8C39-2BEBC9291116}" destId="{5B1044E7-2C51-4059-B827-349F33C1B127}" srcOrd="0" destOrd="0" presId="urn:microsoft.com/office/officeart/2005/8/layout/hierarchy1"/>
    <dgm:cxn modelId="{1546AE4A-D5EC-4B67-9A23-248359A43DB5}" srcId="{E34CF413-06AF-4216-80C7-D0EACED0F8CD}" destId="{EEDD6EC2-6121-4E80-A092-899E26BAF9AB}" srcOrd="0" destOrd="0" parTransId="{0E52D0AC-FB29-4C1B-BAB6-BA4AE034DB0C}" sibTransId="{29846176-558A-477A-B7FC-887ACECE9FCE}"/>
    <dgm:cxn modelId="{651295F0-7E35-47C0-9785-B38E1F630227}" type="presOf" srcId="{E3F8094C-662D-49D0-885F-F043869CD32F}" destId="{18AB2D3E-73A5-4C4E-A7E8-2F567F94D2C1}" srcOrd="0" destOrd="0" presId="urn:microsoft.com/office/officeart/2005/8/layout/hierarchy1"/>
    <dgm:cxn modelId="{BCE4129F-D6D5-4541-B856-6CB43371B05D}" type="presOf" srcId="{6D06400F-073C-4165-989C-E11E7CBE9D97}" destId="{951C120F-DE6C-46F2-BED1-DA533F679C66}" srcOrd="0" destOrd="0" presId="urn:microsoft.com/office/officeart/2005/8/layout/hierarchy1"/>
    <dgm:cxn modelId="{95C96DCA-A9C7-47E3-A593-EFEEF36DDABB}" srcId="{E385C848-2349-4B42-AD6B-46B793F60192}" destId="{FC50CB99-04EC-46F8-9CDB-1CCF12BA544A}" srcOrd="0" destOrd="0" parTransId="{9CC7EDF0-6EE7-451F-A6EF-D4F259BB8192}" sibTransId="{EDDE76EC-FA7D-4F5E-ABB0-1444EDF2C903}"/>
    <dgm:cxn modelId="{14000451-7AF6-43F4-AB4D-2BA55D208E77}" type="presOf" srcId="{3F578F6D-5C2B-45B1-A489-1D1F8DE5CAAA}" destId="{7622341B-0491-4843-9C32-5D5F55D36393}" srcOrd="0" destOrd="0" presId="urn:microsoft.com/office/officeart/2005/8/layout/hierarchy1"/>
    <dgm:cxn modelId="{5F86C8FC-7029-410C-9E77-5B44BFB51C4D}" srcId="{F922E4CA-86B5-4295-948C-D773BFCC602E}" destId="{F5105DCE-BC82-464A-B633-965A2C81C69F}" srcOrd="0" destOrd="0" parTransId="{17C230BC-152B-43F2-A769-8BD26A8B3791}" sibTransId="{078D257D-BE50-4CFD-9346-C7505279040E}"/>
    <dgm:cxn modelId="{C81CA45B-9E9A-4856-9BAF-FA8A4B879AC3}" type="presOf" srcId="{EEDD6EC2-6121-4E80-A092-899E26BAF9AB}" destId="{F8360923-A999-477F-A12D-D6EB6F2B9227}" srcOrd="0" destOrd="0" presId="urn:microsoft.com/office/officeart/2005/8/layout/hierarchy1"/>
    <dgm:cxn modelId="{67791966-9A73-4CF5-AF79-F9674F8B896E}" type="presOf" srcId="{2200A61F-AC61-4749-8A9B-6CC94CD32006}" destId="{136ACBBC-5984-4FD3-B3FE-70C300FF7A75}" srcOrd="0" destOrd="0" presId="urn:microsoft.com/office/officeart/2005/8/layout/hierarchy1"/>
    <dgm:cxn modelId="{20052DE8-25DC-46EE-BB73-708A47A3A3E4}" srcId="{EBB10BB4-18D6-4624-B975-ED30FB678C37}" destId="{E34CF413-06AF-4216-80C7-D0EACED0F8CD}" srcOrd="1" destOrd="0" parTransId="{DB67E893-703E-41D5-806E-D6E3B89C42C1}" sibTransId="{5DB94D50-8793-44C0-A483-C6F9F0223C11}"/>
    <dgm:cxn modelId="{0A7D1EE6-4819-4651-99A9-A31BEFC39837}" type="presParOf" srcId="{53376C9F-2E02-4B2C-85EC-77A083A01A2D}" destId="{1102755A-9CD6-4F6F-BD8F-FB87C82B25A7}" srcOrd="0" destOrd="0" presId="urn:microsoft.com/office/officeart/2005/8/layout/hierarchy1"/>
    <dgm:cxn modelId="{96B2FB11-76AC-424E-81F7-A4D16BDC7AE1}" type="presParOf" srcId="{1102755A-9CD6-4F6F-BD8F-FB87C82B25A7}" destId="{F878A53F-7E9D-4BCA-B21E-B4935F5E7643}" srcOrd="0" destOrd="0" presId="urn:microsoft.com/office/officeart/2005/8/layout/hierarchy1"/>
    <dgm:cxn modelId="{F80D3C73-4F04-44F1-80F9-77C7D20DD958}" type="presParOf" srcId="{F878A53F-7E9D-4BCA-B21E-B4935F5E7643}" destId="{0E6DF3F6-E65A-48FB-A21A-D93EB24F9DF1}" srcOrd="0" destOrd="0" presId="urn:microsoft.com/office/officeart/2005/8/layout/hierarchy1"/>
    <dgm:cxn modelId="{F56C4695-DA05-45D3-B6F3-C9660AC3055F}" type="presParOf" srcId="{F878A53F-7E9D-4BCA-B21E-B4935F5E7643}" destId="{8016D8CA-ED9B-453B-BCE7-322F9DD20689}" srcOrd="1" destOrd="0" presId="urn:microsoft.com/office/officeart/2005/8/layout/hierarchy1"/>
    <dgm:cxn modelId="{15295CF4-D6D4-4A02-9E48-B15DC0FDC48B}" type="presParOf" srcId="{1102755A-9CD6-4F6F-BD8F-FB87C82B25A7}" destId="{9C8B6AB5-C4E4-4FDB-92B4-09C4411E7AE7}" srcOrd="1" destOrd="0" presId="urn:microsoft.com/office/officeart/2005/8/layout/hierarchy1"/>
    <dgm:cxn modelId="{7F75D8C8-3EE0-431D-B53B-9C276B17E2CF}" type="presParOf" srcId="{9C8B6AB5-C4E4-4FDB-92B4-09C4411E7AE7}" destId="{1F22A2A1-968F-4F4A-AF3F-94C2F70DF3C0}" srcOrd="0" destOrd="0" presId="urn:microsoft.com/office/officeart/2005/8/layout/hierarchy1"/>
    <dgm:cxn modelId="{1021562C-43AF-44BC-AEB1-0F78480795A1}" type="presParOf" srcId="{9C8B6AB5-C4E4-4FDB-92B4-09C4411E7AE7}" destId="{DE67BAF5-3F66-4A2D-AE42-7DAFE64B5174}" srcOrd="1" destOrd="0" presId="urn:microsoft.com/office/officeart/2005/8/layout/hierarchy1"/>
    <dgm:cxn modelId="{738DCF6B-637C-4FB9-A43C-7CB103463E87}" type="presParOf" srcId="{DE67BAF5-3F66-4A2D-AE42-7DAFE64B5174}" destId="{F0346F1B-68FF-4FCE-9914-D55452892AC2}" srcOrd="0" destOrd="0" presId="urn:microsoft.com/office/officeart/2005/8/layout/hierarchy1"/>
    <dgm:cxn modelId="{2C57FF7C-FE20-4BBE-AD7D-8B8E05CDFEBB}" type="presParOf" srcId="{F0346F1B-68FF-4FCE-9914-D55452892AC2}" destId="{23A26F40-44F0-4218-82DD-E4CA4B31C2AC}" srcOrd="0" destOrd="0" presId="urn:microsoft.com/office/officeart/2005/8/layout/hierarchy1"/>
    <dgm:cxn modelId="{649EC7F7-FB95-4C80-B50F-973FE3979021}" type="presParOf" srcId="{F0346F1B-68FF-4FCE-9914-D55452892AC2}" destId="{7622341B-0491-4843-9C32-5D5F55D36393}" srcOrd="1" destOrd="0" presId="urn:microsoft.com/office/officeart/2005/8/layout/hierarchy1"/>
    <dgm:cxn modelId="{FFBCB42A-E1EF-4175-860D-2EEF169520B8}" type="presParOf" srcId="{DE67BAF5-3F66-4A2D-AE42-7DAFE64B5174}" destId="{4B3F7B05-F204-46F1-BB29-00568092549F}" srcOrd="1" destOrd="0" presId="urn:microsoft.com/office/officeart/2005/8/layout/hierarchy1"/>
    <dgm:cxn modelId="{13D198DA-B797-4E1B-93F6-32B931737ABA}" type="presParOf" srcId="{4B3F7B05-F204-46F1-BB29-00568092549F}" destId="{DF914B44-3803-42B4-A85B-2146661491BD}" srcOrd="0" destOrd="0" presId="urn:microsoft.com/office/officeart/2005/8/layout/hierarchy1"/>
    <dgm:cxn modelId="{9E91DFC3-6CED-4C58-BCA5-6F2891BE6CDC}" type="presParOf" srcId="{4B3F7B05-F204-46F1-BB29-00568092549F}" destId="{C9D7A437-687C-4310-86A0-35DEAAAF9B16}" srcOrd="1" destOrd="0" presId="urn:microsoft.com/office/officeart/2005/8/layout/hierarchy1"/>
    <dgm:cxn modelId="{FF9E0B27-D4D0-4233-8D7C-61687742EF1B}" type="presParOf" srcId="{C9D7A437-687C-4310-86A0-35DEAAAF9B16}" destId="{55F0F95A-BE63-4D05-8210-78A69B4F92DC}" srcOrd="0" destOrd="0" presId="urn:microsoft.com/office/officeart/2005/8/layout/hierarchy1"/>
    <dgm:cxn modelId="{9B6B011E-8047-4D94-B578-A79918280742}" type="presParOf" srcId="{55F0F95A-BE63-4D05-8210-78A69B4F92DC}" destId="{40CA944B-3B6B-45C3-A641-F6B079E8DE1F}" srcOrd="0" destOrd="0" presId="urn:microsoft.com/office/officeart/2005/8/layout/hierarchy1"/>
    <dgm:cxn modelId="{5D58A439-5E81-4372-9B24-63AE814EF4C6}" type="presParOf" srcId="{55F0F95A-BE63-4D05-8210-78A69B4F92DC}" destId="{5B1044E7-2C51-4059-B827-349F33C1B127}" srcOrd="1" destOrd="0" presId="urn:microsoft.com/office/officeart/2005/8/layout/hierarchy1"/>
    <dgm:cxn modelId="{591D3B03-14E6-4E01-85CF-15737D886B82}" type="presParOf" srcId="{C9D7A437-687C-4310-86A0-35DEAAAF9B16}" destId="{1918CF98-3CDE-47B9-B116-2511F60B5C31}" srcOrd="1" destOrd="0" presId="urn:microsoft.com/office/officeart/2005/8/layout/hierarchy1"/>
    <dgm:cxn modelId="{E2FAF722-D5EF-49E2-A145-669B2D392BC4}" type="presParOf" srcId="{1918CF98-3CDE-47B9-B116-2511F60B5C31}" destId="{845A53A7-8CA2-44B0-91DB-D7C67D606E5C}" srcOrd="0" destOrd="0" presId="urn:microsoft.com/office/officeart/2005/8/layout/hierarchy1"/>
    <dgm:cxn modelId="{D22E9A09-8CEF-4A37-9F4D-1A0BE98E9C23}" type="presParOf" srcId="{1918CF98-3CDE-47B9-B116-2511F60B5C31}" destId="{1524575B-AB68-4F87-A72D-41FFC4E8EA4F}" srcOrd="1" destOrd="0" presId="urn:microsoft.com/office/officeart/2005/8/layout/hierarchy1"/>
    <dgm:cxn modelId="{0E393DD9-FBCE-4EA4-8CE2-F97103DAC7C6}" type="presParOf" srcId="{1524575B-AB68-4F87-A72D-41FFC4E8EA4F}" destId="{106CE06A-CC88-4EE1-B8FA-75AD7C9CDCE0}" srcOrd="0" destOrd="0" presId="urn:microsoft.com/office/officeart/2005/8/layout/hierarchy1"/>
    <dgm:cxn modelId="{ABB30A2D-5865-413F-A309-5731FD13E7A3}" type="presParOf" srcId="{106CE06A-CC88-4EE1-B8FA-75AD7C9CDCE0}" destId="{7E61DD26-6AF7-462C-928E-3356DEE6CFAE}" srcOrd="0" destOrd="0" presId="urn:microsoft.com/office/officeart/2005/8/layout/hierarchy1"/>
    <dgm:cxn modelId="{6E3DBB5C-AF1F-4A89-91CF-F8D88B34A188}" type="presParOf" srcId="{106CE06A-CC88-4EE1-B8FA-75AD7C9CDCE0}" destId="{7C3C2C9C-02F5-4D04-9F10-9B1D7CA60102}" srcOrd="1" destOrd="0" presId="urn:microsoft.com/office/officeart/2005/8/layout/hierarchy1"/>
    <dgm:cxn modelId="{70356A8E-AC42-43A5-8776-0BD5B273AAF1}" type="presParOf" srcId="{1524575B-AB68-4F87-A72D-41FFC4E8EA4F}" destId="{67EC89F9-AA44-4A84-A9FA-BD869207036E}" srcOrd="1" destOrd="0" presId="urn:microsoft.com/office/officeart/2005/8/layout/hierarchy1"/>
    <dgm:cxn modelId="{42F1C0D3-6CBA-482D-B98C-150F2F5724E6}" type="presParOf" srcId="{4B3F7B05-F204-46F1-BB29-00568092549F}" destId="{DF739D99-1C35-49AE-8CFE-829B4E806F6A}" srcOrd="2" destOrd="0" presId="urn:microsoft.com/office/officeart/2005/8/layout/hierarchy1"/>
    <dgm:cxn modelId="{703AE07C-66D4-46CF-A7B5-230701FFDB33}" type="presParOf" srcId="{4B3F7B05-F204-46F1-BB29-00568092549F}" destId="{CDA423DF-CC28-4631-A968-AFC5219522B5}" srcOrd="3" destOrd="0" presId="urn:microsoft.com/office/officeart/2005/8/layout/hierarchy1"/>
    <dgm:cxn modelId="{22604033-E348-4A15-ADC4-B5D0E164D077}" type="presParOf" srcId="{CDA423DF-CC28-4631-A968-AFC5219522B5}" destId="{1304E8C4-3ED1-4E24-A643-08A60E98B210}" srcOrd="0" destOrd="0" presId="urn:microsoft.com/office/officeart/2005/8/layout/hierarchy1"/>
    <dgm:cxn modelId="{DDDEF6F9-1B46-4393-ADDB-6DEDE032443D}" type="presParOf" srcId="{1304E8C4-3ED1-4E24-A643-08A60E98B210}" destId="{030A34BB-073F-4AE2-844D-E4F9DB41C72B}" srcOrd="0" destOrd="0" presId="urn:microsoft.com/office/officeart/2005/8/layout/hierarchy1"/>
    <dgm:cxn modelId="{642E906A-1EA2-4C8A-A630-DFC806BB7F64}" type="presParOf" srcId="{1304E8C4-3ED1-4E24-A643-08A60E98B210}" destId="{A3AA923F-8FE2-4C53-9325-68082BA92892}" srcOrd="1" destOrd="0" presId="urn:microsoft.com/office/officeart/2005/8/layout/hierarchy1"/>
    <dgm:cxn modelId="{0BF80AA7-E406-423D-9FC6-96C79A1C206A}" type="presParOf" srcId="{CDA423DF-CC28-4631-A968-AFC5219522B5}" destId="{5BCF19CA-D3B0-4044-B852-B567E6E6A0FF}" srcOrd="1" destOrd="0" presId="urn:microsoft.com/office/officeart/2005/8/layout/hierarchy1"/>
    <dgm:cxn modelId="{7A232A3C-706B-4446-9D22-3909BF079710}" type="presParOf" srcId="{5BCF19CA-D3B0-4044-B852-B567E6E6A0FF}" destId="{4E3C5385-9B6F-4D64-8FDC-A88B9ADA7565}" srcOrd="0" destOrd="0" presId="urn:microsoft.com/office/officeart/2005/8/layout/hierarchy1"/>
    <dgm:cxn modelId="{31EE4938-DEDB-47CA-BCE3-16D033F33D6E}" type="presParOf" srcId="{5BCF19CA-D3B0-4044-B852-B567E6E6A0FF}" destId="{C58DF301-3A6B-44B0-A1BD-D683504BBC15}" srcOrd="1" destOrd="0" presId="urn:microsoft.com/office/officeart/2005/8/layout/hierarchy1"/>
    <dgm:cxn modelId="{487A857F-64D2-4D22-BE91-1C5709F0326C}" type="presParOf" srcId="{C58DF301-3A6B-44B0-A1BD-D683504BBC15}" destId="{DB40DF0E-314A-4B15-805C-3A539938C375}" srcOrd="0" destOrd="0" presId="urn:microsoft.com/office/officeart/2005/8/layout/hierarchy1"/>
    <dgm:cxn modelId="{582AAC61-C3BF-4B59-A83D-0348DB743D84}" type="presParOf" srcId="{DB40DF0E-314A-4B15-805C-3A539938C375}" destId="{F2C6F8B3-81D5-42E6-9782-CDB6B0329CFD}" srcOrd="0" destOrd="0" presId="urn:microsoft.com/office/officeart/2005/8/layout/hierarchy1"/>
    <dgm:cxn modelId="{8FC47370-501A-478E-8980-3C906953CFC2}" type="presParOf" srcId="{DB40DF0E-314A-4B15-805C-3A539938C375}" destId="{470A9858-0142-451E-81DF-1ED289BCB7E2}" srcOrd="1" destOrd="0" presId="urn:microsoft.com/office/officeart/2005/8/layout/hierarchy1"/>
    <dgm:cxn modelId="{7E8C5C51-1894-4012-9D0F-6F7F85014399}" type="presParOf" srcId="{C58DF301-3A6B-44B0-A1BD-D683504BBC15}" destId="{7401E962-91FF-46BE-B9C1-DB4D6A7F7ADB}" srcOrd="1" destOrd="0" presId="urn:microsoft.com/office/officeart/2005/8/layout/hierarchy1"/>
    <dgm:cxn modelId="{F0D29E29-5BBC-439F-A7B2-932D12F000BC}" type="presParOf" srcId="{9C8B6AB5-C4E4-4FDB-92B4-09C4411E7AE7}" destId="{951C120F-DE6C-46F2-BED1-DA533F679C66}" srcOrd="2" destOrd="0" presId="urn:microsoft.com/office/officeart/2005/8/layout/hierarchy1"/>
    <dgm:cxn modelId="{DC141C11-CAF5-4942-B14A-7B23132067F0}" type="presParOf" srcId="{9C8B6AB5-C4E4-4FDB-92B4-09C4411E7AE7}" destId="{AB739CD1-B9E3-4565-A5CE-CFE0BE7F4505}" srcOrd="3" destOrd="0" presId="urn:microsoft.com/office/officeart/2005/8/layout/hierarchy1"/>
    <dgm:cxn modelId="{1BD2AE83-B0CA-474C-A373-BFFFA862B348}" type="presParOf" srcId="{AB739CD1-B9E3-4565-A5CE-CFE0BE7F4505}" destId="{17BBE7DF-1567-42DF-A39F-0BE1A45D8C0D}" srcOrd="0" destOrd="0" presId="urn:microsoft.com/office/officeart/2005/8/layout/hierarchy1"/>
    <dgm:cxn modelId="{1AAA032F-F466-4F4B-BDBE-F7C752F3F6B7}" type="presParOf" srcId="{17BBE7DF-1567-42DF-A39F-0BE1A45D8C0D}" destId="{F598BD5B-DF2C-4D16-A042-9B937A6C4ED8}" srcOrd="0" destOrd="0" presId="urn:microsoft.com/office/officeart/2005/8/layout/hierarchy1"/>
    <dgm:cxn modelId="{A1A70BFA-1E7C-4B5A-B29E-0B51751048C8}" type="presParOf" srcId="{17BBE7DF-1567-42DF-A39F-0BE1A45D8C0D}" destId="{88493BC7-1C69-4CA2-9553-186BBC69CF89}" srcOrd="1" destOrd="0" presId="urn:microsoft.com/office/officeart/2005/8/layout/hierarchy1"/>
    <dgm:cxn modelId="{0C710DA8-D186-4A46-9450-993B1DE34C02}" type="presParOf" srcId="{AB739CD1-B9E3-4565-A5CE-CFE0BE7F4505}" destId="{500326EC-245D-471E-A1A6-60A0E8A02929}" srcOrd="1" destOrd="0" presId="urn:microsoft.com/office/officeart/2005/8/layout/hierarchy1"/>
    <dgm:cxn modelId="{81340649-1F21-4DC4-9037-C0F5AD3F50B7}" type="presParOf" srcId="{500326EC-245D-471E-A1A6-60A0E8A02929}" destId="{136ACBBC-5984-4FD3-B3FE-70C300FF7A75}" srcOrd="0" destOrd="0" presId="urn:microsoft.com/office/officeart/2005/8/layout/hierarchy1"/>
    <dgm:cxn modelId="{DA35FEDD-97C3-4587-AC04-6BD94BAED0A6}" type="presParOf" srcId="{500326EC-245D-471E-A1A6-60A0E8A02929}" destId="{AEAFE347-3AB1-44F6-879A-0BC158A4F579}" srcOrd="1" destOrd="0" presId="urn:microsoft.com/office/officeart/2005/8/layout/hierarchy1"/>
    <dgm:cxn modelId="{3062D7BD-A696-40A0-B90D-416469798310}" type="presParOf" srcId="{AEAFE347-3AB1-44F6-879A-0BC158A4F579}" destId="{8D7FD54B-26DD-4648-B592-F71D0679EB14}" srcOrd="0" destOrd="0" presId="urn:microsoft.com/office/officeart/2005/8/layout/hierarchy1"/>
    <dgm:cxn modelId="{B5CFF5D6-ECD1-4AFC-8C8A-062B4D16D3CE}" type="presParOf" srcId="{8D7FD54B-26DD-4648-B592-F71D0679EB14}" destId="{4CA71CB7-F986-41E5-9E57-67FC0CA54B3D}" srcOrd="0" destOrd="0" presId="urn:microsoft.com/office/officeart/2005/8/layout/hierarchy1"/>
    <dgm:cxn modelId="{BD0BA248-ADA1-4D10-8D4D-291230FEA76B}" type="presParOf" srcId="{8D7FD54B-26DD-4648-B592-F71D0679EB14}" destId="{D12D2D11-C2EB-464F-95CF-A7265DCF5034}" srcOrd="1" destOrd="0" presId="urn:microsoft.com/office/officeart/2005/8/layout/hierarchy1"/>
    <dgm:cxn modelId="{FB29CD55-5645-4C8C-A315-07C6AA9F44EC}" type="presParOf" srcId="{AEAFE347-3AB1-44F6-879A-0BC158A4F579}" destId="{560652B7-724F-4B5F-9BAA-BAC5863B0850}" srcOrd="1" destOrd="0" presId="urn:microsoft.com/office/officeart/2005/8/layout/hierarchy1"/>
    <dgm:cxn modelId="{649D43D4-B789-42EA-8AD5-3C91C541EEBA}" type="presParOf" srcId="{560652B7-724F-4B5F-9BAA-BAC5863B0850}" destId="{60791E90-CB2C-4A1B-B921-B321252F67AA}" srcOrd="0" destOrd="0" presId="urn:microsoft.com/office/officeart/2005/8/layout/hierarchy1"/>
    <dgm:cxn modelId="{E9384472-BC77-4DFE-B0F5-14498A218B41}" type="presParOf" srcId="{560652B7-724F-4B5F-9BAA-BAC5863B0850}" destId="{40BA76D6-DABD-4C69-87BA-F1750DE063FE}" srcOrd="1" destOrd="0" presId="urn:microsoft.com/office/officeart/2005/8/layout/hierarchy1"/>
    <dgm:cxn modelId="{166AF5CE-3C45-4DB7-A681-126BE6399270}" type="presParOf" srcId="{40BA76D6-DABD-4C69-87BA-F1750DE063FE}" destId="{141D3E92-12FC-4552-8876-302CEB8DAF12}" srcOrd="0" destOrd="0" presId="urn:microsoft.com/office/officeart/2005/8/layout/hierarchy1"/>
    <dgm:cxn modelId="{30D000BC-AA0D-4824-B1A2-2903FE8D5C58}" type="presParOf" srcId="{141D3E92-12FC-4552-8876-302CEB8DAF12}" destId="{0C1637C2-1E61-4EA9-B3BD-43D4AC10DC16}" srcOrd="0" destOrd="0" presId="urn:microsoft.com/office/officeart/2005/8/layout/hierarchy1"/>
    <dgm:cxn modelId="{2562894A-497B-4D47-AE51-1E65F8685C04}" type="presParOf" srcId="{141D3E92-12FC-4552-8876-302CEB8DAF12}" destId="{DC0255C0-A383-4D4F-9B7B-2989E72B4236}" srcOrd="1" destOrd="0" presId="urn:microsoft.com/office/officeart/2005/8/layout/hierarchy1"/>
    <dgm:cxn modelId="{A94C5015-B107-4C40-8AF4-A6CF2700D5EC}" type="presParOf" srcId="{40BA76D6-DABD-4C69-87BA-F1750DE063FE}" destId="{B5626A5A-823E-49F8-AF00-CEF77D0F88C9}" srcOrd="1" destOrd="0" presId="urn:microsoft.com/office/officeart/2005/8/layout/hierarchy1"/>
    <dgm:cxn modelId="{11E66243-4B14-4ACE-8170-76D79043B610}" type="presParOf" srcId="{500326EC-245D-471E-A1A6-60A0E8A02929}" destId="{82992059-7FFC-472A-8713-E776418A8E11}" srcOrd="2" destOrd="0" presId="urn:microsoft.com/office/officeart/2005/8/layout/hierarchy1"/>
    <dgm:cxn modelId="{29414741-3913-40B2-BA70-88439D2D3AC7}" type="presParOf" srcId="{500326EC-245D-471E-A1A6-60A0E8A02929}" destId="{3EB8B8D8-562F-4064-82AB-8648706BFA05}" srcOrd="3" destOrd="0" presId="urn:microsoft.com/office/officeart/2005/8/layout/hierarchy1"/>
    <dgm:cxn modelId="{776CE836-4FAD-46ED-81BB-B522BA94BC82}" type="presParOf" srcId="{3EB8B8D8-562F-4064-82AB-8648706BFA05}" destId="{A5E5F095-3765-48CD-82E1-8C4FEA0CE3B3}" srcOrd="0" destOrd="0" presId="urn:microsoft.com/office/officeart/2005/8/layout/hierarchy1"/>
    <dgm:cxn modelId="{87BDE776-CBB5-405D-9C78-9F63F9240C16}" type="presParOf" srcId="{A5E5F095-3765-48CD-82E1-8C4FEA0CE3B3}" destId="{8E351BBA-47DE-4CEE-895C-51B0EAFF5DE9}" srcOrd="0" destOrd="0" presId="urn:microsoft.com/office/officeart/2005/8/layout/hierarchy1"/>
    <dgm:cxn modelId="{7BAB0F3C-C335-48EC-8802-5A40386D7214}" type="presParOf" srcId="{A5E5F095-3765-48CD-82E1-8C4FEA0CE3B3}" destId="{79735352-4868-4596-8CBD-C2A8F9F9E28D}" srcOrd="1" destOrd="0" presId="urn:microsoft.com/office/officeart/2005/8/layout/hierarchy1"/>
    <dgm:cxn modelId="{A076F4B6-FCBD-436C-B9D7-F4FBCB247467}" type="presParOf" srcId="{3EB8B8D8-562F-4064-82AB-8648706BFA05}" destId="{ED71B22C-C8C7-49BA-8B14-0E24B5FD3E9D}" srcOrd="1" destOrd="0" presId="urn:microsoft.com/office/officeart/2005/8/layout/hierarchy1"/>
    <dgm:cxn modelId="{18FDEF68-C8F4-4C10-A189-9EE2AE314C93}" type="presParOf" srcId="{ED71B22C-C8C7-49BA-8B14-0E24B5FD3E9D}" destId="{846AFB2B-2650-4878-84F9-55A7970A44DA}" srcOrd="0" destOrd="0" presId="urn:microsoft.com/office/officeart/2005/8/layout/hierarchy1"/>
    <dgm:cxn modelId="{8AEA0284-16F2-485A-A56E-66DF47C183D1}" type="presParOf" srcId="{ED71B22C-C8C7-49BA-8B14-0E24B5FD3E9D}" destId="{E8213CD8-A218-4DAB-A798-058DFB26F61C}" srcOrd="1" destOrd="0" presId="urn:microsoft.com/office/officeart/2005/8/layout/hierarchy1"/>
    <dgm:cxn modelId="{E4A56C4F-9DEA-4E74-AC20-FF20FBCA8AD3}" type="presParOf" srcId="{E8213CD8-A218-4DAB-A798-058DFB26F61C}" destId="{923F18C7-B714-42B1-BB78-05A1F2C43FD0}" srcOrd="0" destOrd="0" presId="urn:microsoft.com/office/officeart/2005/8/layout/hierarchy1"/>
    <dgm:cxn modelId="{A76D4E19-07D8-4164-836E-62E4B8E37D2A}" type="presParOf" srcId="{923F18C7-B714-42B1-BB78-05A1F2C43FD0}" destId="{A54ED921-6CA9-4BC2-A53E-38BB0EB44E53}" srcOrd="0" destOrd="0" presId="urn:microsoft.com/office/officeart/2005/8/layout/hierarchy1"/>
    <dgm:cxn modelId="{47B3E17D-6F9F-4422-B661-16DD4B7B5306}" type="presParOf" srcId="{923F18C7-B714-42B1-BB78-05A1F2C43FD0}" destId="{F8360923-A999-477F-A12D-D6EB6F2B9227}" srcOrd="1" destOrd="0" presId="urn:microsoft.com/office/officeart/2005/8/layout/hierarchy1"/>
    <dgm:cxn modelId="{3F266EAA-FB54-4355-AE52-1E191E4A500A}" type="presParOf" srcId="{E8213CD8-A218-4DAB-A798-058DFB26F61C}" destId="{6066D8E6-9823-41E1-98B6-6847F5F69A94}" srcOrd="1" destOrd="0" presId="urn:microsoft.com/office/officeart/2005/8/layout/hierarchy1"/>
    <dgm:cxn modelId="{A048574E-6D1B-4EA7-B80F-977969BF3646}" type="presParOf" srcId="{500326EC-245D-471E-A1A6-60A0E8A02929}" destId="{DCC93724-DEA5-4EAE-AFE1-D1D256EF4F96}" srcOrd="4" destOrd="0" presId="urn:microsoft.com/office/officeart/2005/8/layout/hierarchy1"/>
    <dgm:cxn modelId="{DE4F371A-074C-4D2F-A62F-B3FE95D33C2C}" type="presParOf" srcId="{500326EC-245D-471E-A1A6-60A0E8A02929}" destId="{4BA2CFF2-7AA0-4FAE-96F7-8714F4A0552C}" srcOrd="5" destOrd="0" presId="urn:microsoft.com/office/officeart/2005/8/layout/hierarchy1"/>
    <dgm:cxn modelId="{086DB264-FD47-42AF-9F40-B7F2D36F71EA}" type="presParOf" srcId="{4BA2CFF2-7AA0-4FAE-96F7-8714F4A0552C}" destId="{562E3540-8539-439A-ACE1-B321E95649A1}" srcOrd="0" destOrd="0" presId="urn:microsoft.com/office/officeart/2005/8/layout/hierarchy1"/>
    <dgm:cxn modelId="{19ABA1C1-56E1-4EDA-893D-FA58F5364E08}" type="presParOf" srcId="{562E3540-8539-439A-ACE1-B321E95649A1}" destId="{6EB6EE4D-B988-478E-A8DE-43B2441A4B6C}" srcOrd="0" destOrd="0" presId="urn:microsoft.com/office/officeart/2005/8/layout/hierarchy1"/>
    <dgm:cxn modelId="{BA89359A-9932-41AB-A13F-A25625A68BCA}" type="presParOf" srcId="{562E3540-8539-439A-ACE1-B321E95649A1}" destId="{0E9B1D58-BAFE-4C69-8B94-2B5E92F609DA}" srcOrd="1" destOrd="0" presId="urn:microsoft.com/office/officeart/2005/8/layout/hierarchy1"/>
    <dgm:cxn modelId="{2C1DE846-0066-4CBA-A039-79E225684FFD}" type="presParOf" srcId="{4BA2CFF2-7AA0-4FAE-96F7-8714F4A0552C}" destId="{D9019186-5097-4C64-B3A8-59FCA0D41D1E}" srcOrd="1" destOrd="0" presId="urn:microsoft.com/office/officeart/2005/8/layout/hierarchy1"/>
    <dgm:cxn modelId="{DD694EF5-F478-4C42-AA09-1B227CC10FFF}" type="presParOf" srcId="{D9019186-5097-4C64-B3A8-59FCA0D41D1E}" destId="{5532D6EF-8428-43CC-8229-26A0203EAC5C}" srcOrd="0" destOrd="0" presId="urn:microsoft.com/office/officeart/2005/8/layout/hierarchy1"/>
    <dgm:cxn modelId="{A58A8E43-D153-4B99-9C48-90ED9497AA8D}" type="presParOf" srcId="{D9019186-5097-4C64-B3A8-59FCA0D41D1E}" destId="{A342B5C3-A8AF-431C-B64C-447A8DA515EE}" srcOrd="1" destOrd="0" presId="urn:microsoft.com/office/officeart/2005/8/layout/hierarchy1"/>
    <dgm:cxn modelId="{340A91D3-E716-43B8-931E-2C9D7AC49AEB}" type="presParOf" srcId="{A342B5C3-A8AF-431C-B64C-447A8DA515EE}" destId="{737653AA-C96B-462F-9C91-7FB59E22EDC5}" srcOrd="0" destOrd="0" presId="urn:microsoft.com/office/officeart/2005/8/layout/hierarchy1"/>
    <dgm:cxn modelId="{C883C14C-9712-442C-87CD-859B8B051700}" type="presParOf" srcId="{737653AA-C96B-462F-9C91-7FB59E22EDC5}" destId="{F893CBA9-6DD3-495A-BAFC-5457AE393159}" srcOrd="0" destOrd="0" presId="urn:microsoft.com/office/officeart/2005/8/layout/hierarchy1"/>
    <dgm:cxn modelId="{49987101-1419-4AEA-8DBA-746B6D3D7F08}" type="presParOf" srcId="{737653AA-C96B-462F-9C91-7FB59E22EDC5}" destId="{E0BE98E3-A4AB-4918-8F89-7496DCE2BE48}" srcOrd="1" destOrd="0" presId="urn:microsoft.com/office/officeart/2005/8/layout/hierarchy1"/>
    <dgm:cxn modelId="{CF03A53A-CEC6-4B91-83E9-AC78AC7D6373}" type="presParOf" srcId="{A342B5C3-A8AF-431C-B64C-447A8DA515EE}" destId="{244FA748-219E-4490-9BBD-C1694CCA5A01}" srcOrd="1" destOrd="0" presId="urn:microsoft.com/office/officeart/2005/8/layout/hierarchy1"/>
    <dgm:cxn modelId="{F2D4EA8B-CB25-4C5C-902D-9257FD8A57B4}" type="presParOf" srcId="{500326EC-245D-471E-A1A6-60A0E8A02929}" destId="{18AB2D3E-73A5-4C4E-A7E8-2F567F94D2C1}" srcOrd="6" destOrd="0" presId="urn:microsoft.com/office/officeart/2005/8/layout/hierarchy1"/>
    <dgm:cxn modelId="{5E4B6240-24E0-4C35-A486-3EFBC61991D9}" type="presParOf" srcId="{500326EC-245D-471E-A1A6-60A0E8A02929}" destId="{AD68E08A-4558-4468-BCBB-7DD3AC7BC685}" srcOrd="7" destOrd="0" presId="urn:microsoft.com/office/officeart/2005/8/layout/hierarchy1"/>
    <dgm:cxn modelId="{7735AAB2-1B9F-4877-919E-497C34A060EC}" type="presParOf" srcId="{AD68E08A-4558-4468-BCBB-7DD3AC7BC685}" destId="{7DADFA14-E3B2-41BF-BBAF-768F646D8830}" srcOrd="0" destOrd="0" presId="urn:microsoft.com/office/officeart/2005/8/layout/hierarchy1"/>
    <dgm:cxn modelId="{43301F61-D6AF-455F-9789-8626C5B386C2}" type="presParOf" srcId="{7DADFA14-E3B2-41BF-BBAF-768F646D8830}" destId="{37E4C105-888D-4895-8948-4CD92D2A99F2}" srcOrd="0" destOrd="0" presId="urn:microsoft.com/office/officeart/2005/8/layout/hierarchy1"/>
    <dgm:cxn modelId="{417DDE5F-F7AB-4D8B-87CC-190D741DD8AD}" type="presParOf" srcId="{7DADFA14-E3B2-41BF-BBAF-768F646D8830}" destId="{F6C61906-4F34-4D24-A2C8-EBA0FEB84827}" srcOrd="1" destOrd="0" presId="urn:microsoft.com/office/officeart/2005/8/layout/hierarchy1"/>
    <dgm:cxn modelId="{7175BC1D-AA57-40B8-8CBC-C713ECF66E6D}" type="presParOf" srcId="{AD68E08A-4558-4468-BCBB-7DD3AC7BC685}" destId="{56702FAE-F3D4-42D9-BA22-E963A6862328}" srcOrd="1" destOrd="0" presId="urn:microsoft.com/office/officeart/2005/8/layout/hierarchy1"/>
    <dgm:cxn modelId="{43B50C1F-012A-485A-AEC7-E4A5343DDDB6}" type="presParOf" srcId="{56702FAE-F3D4-42D9-BA22-E963A6862328}" destId="{314FD2D5-F58F-4874-B5E0-144F899E8CAC}" srcOrd="0" destOrd="0" presId="urn:microsoft.com/office/officeart/2005/8/layout/hierarchy1"/>
    <dgm:cxn modelId="{6A3E2172-7B73-4F73-AC3F-EEBF3D092316}" type="presParOf" srcId="{56702FAE-F3D4-42D9-BA22-E963A6862328}" destId="{25FF30B8-460C-4FB3-90A8-82E7ECAD29E9}" srcOrd="1" destOrd="0" presId="urn:microsoft.com/office/officeart/2005/8/layout/hierarchy1"/>
    <dgm:cxn modelId="{C01E86E5-B0C8-4B24-8E85-083F55B04A87}" type="presParOf" srcId="{25FF30B8-460C-4FB3-90A8-82E7ECAD29E9}" destId="{B5E381E8-DD98-49E9-B041-C0E8B733B51C}" srcOrd="0" destOrd="0" presId="urn:microsoft.com/office/officeart/2005/8/layout/hierarchy1"/>
    <dgm:cxn modelId="{BC718425-5827-4E03-89D6-B25392B9B1AB}" type="presParOf" srcId="{B5E381E8-DD98-49E9-B041-C0E8B733B51C}" destId="{2BC8FD62-CAF3-4187-A828-699FAF818EE5}" srcOrd="0" destOrd="0" presId="urn:microsoft.com/office/officeart/2005/8/layout/hierarchy1"/>
    <dgm:cxn modelId="{7A3C784B-6C54-41E6-8A70-27F74DB2E51A}" type="presParOf" srcId="{B5E381E8-DD98-49E9-B041-C0E8B733B51C}" destId="{00D60342-D2D7-41E3-89CA-3CD3D2F9D8C9}" srcOrd="1" destOrd="0" presId="urn:microsoft.com/office/officeart/2005/8/layout/hierarchy1"/>
    <dgm:cxn modelId="{F37C2482-6451-4524-B6D0-AB92AA0CDE8C}" type="presParOf" srcId="{25FF30B8-460C-4FB3-90A8-82E7ECAD29E9}" destId="{546071DA-3E61-4E40-A700-D610C4058339}" srcOrd="1" destOrd="0" presId="urn:microsoft.com/office/officeart/2005/8/layout/hierarchy1"/>
    <dgm:cxn modelId="{C6690A31-31AD-4830-A314-A1DA1FFD6C30}" type="presParOf" srcId="{9C8B6AB5-C4E4-4FDB-92B4-09C4411E7AE7}" destId="{722410FF-A64C-474B-A50F-47F808100200}" srcOrd="4" destOrd="0" presId="urn:microsoft.com/office/officeart/2005/8/layout/hierarchy1"/>
    <dgm:cxn modelId="{ECE9D703-093F-4A99-842D-B9EAD797F48D}" type="presParOf" srcId="{9C8B6AB5-C4E4-4FDB-92B4-09C4411E7AE7}" destId="{C8371808-511D-40C7-926D-53086999FC95}" srcOrd="5" destOrd="0" presId="urn:microsoft.com/office/officeart/2005/8/layout/hierarchy1"/>
    <dgm:cxn modelId="{A717FE53-B183-4540-978E-9CC7BCEFFA49}" type="presParOf" srcId="{C8371808-511D-40C7-926D-53086999FC95}" destId="{1F85275D-E2A5-4F6E-84D7-FC67EA2E95A7}" srcOrd="0" destOrd="0" presId="urn:microsoft.com/office/officeart/2005/8/layout/hierarchy1"/>
    <dgm:cxn modelId="{3F3F8675-A092-4737-AD35-62E0458C0956}" type="presParOf" srcId="{1F85275D-E2A5-4F6E-84D7-FC67EA2E95A7}" destId="{F89D23B0-F5FF-4A5E-BA94-FD295387131F}" srcOrd="0" destOrd="0" presId="urn:microsoft.com/office/officeart/2005/8/layout/hierarchy1"/>
    <dgm:cxn modelId="{EF2FEDFD-BCF5-428A-825A-6F7A78394836}" type="presParOf" srcId="{1F85275D-E2A5-4F6E-84D7-FC67EA2E95A7}" destId="{5E46F988-5D48-46A5-86BB-C8E82B90C65F}" srcOrd="1" destOrd="0" presId="urn:microsoft.com/office/officeart/2005/8/layout/hierarchy1"/>
    <dgm:cxn modelId="{C2AD67E3-C62B-478C-BFD9-863C3B565A15}" type="presParOf" srcId="{C8371808-511D-40C7-926D-53086999FC95}" destId="{8EE0251C-71AB-4A94-85F6-8CC056919E0F}" srcOrd="1" destOrd="0" presId="urn:microsoft.com/office/officeart/2005/8/layout/hierarchy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1" name=""/>
      <dsp:cNvGrpSpPr/>
    </dsp:nvGrpSpPr>
    <dsp:grpSpPr>
      <a:xfrm>
        <a:off x="0" y="0"/>
        <a:ext cx="5019675" cy="3571875"/>
        <a:chOff x="0" y="0"/>
        <a:chExt cx="0" cy="0"/>
      </a:xfrm>
    </dsp:grpSpPr>
    <dsp:sp>
      <dsp:nvSpPr>
        <dsp:cNvPr id="2" name="任意多边形 1"/>
        <dsp:cNvSpPr/>
      </dsp:nvSpPr>
      <dsp:spPr>
        <a:xfrm>
          <a:off x="2471234" y="1004893"/>
          <a:ext cx="1698552" cy="202089"/>
        </a:xfrm>
        <a:custGeom>
          <a:avLst/>
          <a:gdLst/>
          <a:ahLst/>
          <a:cxnLst/>
          <a:rect l="0" t="0" r="0" b="0"/>
          <a:pathLst>
            <a:path>
              <a:moveTo>
                <a:pt x="0" y="0"/>
              </a:moveTo>
              <a:lnTo>
                <a:pt x="0" y="137717"/>
              </a:lnTo>
              <a:lnTo>
                <a:pt x="1698552" y="137717"/>
              </a:lnTo>
              <a:lnTo>
                <a:pt x="1698552" y="202089"/>
              </a:lnTo>
            </a:path>
          </a:pathLst>
        </a:custGeom>
        <a:noFill/>
        <a:ln w="25400" cap="flat" cmpd="sng" algn="ctr">
          <a:solidFill>
            <a:srgbClr val="163862">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dsp:nvSpPr>
        <dsp:cNvPr id="3" name="任意多边形 2"/>
        <dsp:cNvSpPr/>
      </dsp:nvSpPr>
      <dsp:spPr>
        <a:xfrm>
          <a:off x="4548704" y="2291546"/>
          <a:ext cx="91440" cy="202089"/>
        </a:xfrm>
        <a:custGeom>
          <a:avLst/>
          <a:gdLst/>
          <a:ahLst/>
          <a:cxnLst/>
          <a:rect l="0" t="0" r="0" b="0"/>
          <a:pathLst>
            <a:path>
              <a:moveTo>
                <a:pt x="45720" y="0"/>
              </a:moveTo>
              <a:lnTo>
                <a:pt x="4572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4" name="任意多边形 3"/>
        <dsp:cNvSpPr/>
      </dsp:nvSpPr>
      <dsp:spPr>
        <a:xfrm>
          <a:off x="2457227" y="1648219"/>
          <a:ext cx="2137197" cy="202089"/>
        </a:xfrm>
        <a:custGeom>
          <a:avLst/>
          <a:gdLst/>
          <a:ahLst/>
          <a:cxnLst/>
          <a:rect l="0" t="0" r="0" b="0"/>
          <a:pathLst>
            <a:path>
              <a:moveTo>
                <a:pt x="0" y="0"/>
              </a:moveTo>
              <a:lnTo>
                <a:pt x="0" y="137717"/>
              </a:lnTo>
              <a:lnTo>
                <a:pt x="2137197" y="137717"/>
              </a:lnTo>
              <a:lnTo>
                <a:pt x="2137197"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5" name="任意多边形 4"/>
        <dsp:cNvSpPr/>
      </dsp:nvSpPr>
      <dsp:spPr>
        <a:xfrm>
          <a:off x="3699428" y="2291546"/>
          <a:ext cx="91440" cy="202089"/>
        </a:xfrm>
        <a:custGeom>
          <a:avLst/>
          <a:gdLst/>
          <a:ahLst/>
          <a:cxnLst/>
          <a:rect l="0" t="0" r="0" b="0"/>
          <a:pathLst>
            <a:path>
              <a:moveTo>
                <a:pt x="45720" y="0"/>
              </a:moveTo>
              <a:lnTo>
                <a:pt x="4572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6" name="任意多边形 5"/>
        <dsp:cNvSpPr/>
      </dsp:nvSpPr>
      <dsp:spPr>
        <a:xfrm>
          <a:off x="2457227" y="1648219"/>
          <a:ext cx="1287920" cy="202089"/>
        </a:xfrm>
        <a:custGeom>
          <a:avLst/>
          <a:gdLst/>
          <a:ahLst/>
          <a:cxnLst/>
          <a:rect l="0" t="0" r="0" b="0"/>
          <a:pathLst>
            <a:path>
              <a:moveTo>
                <a:pt x="0" y="0"/>
              </a:moveTo>
              <a:lnTo>
                <a:pt x="0" y="137717"/>
              </a:lnTo>
              <a:lnTo>
                <a:pt x="1287920" y="137717"/>
              </a:lnTo>
              <a:lnTo>
                <a:pt x="128792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7" name="任意多边形 6"/>
        <dsp:cNvSpPr/>
      </dsp:nvSpPr>
      <dsp:spPr>
        <a:xfrm>
          <a:off x="2850152" y="2291546"/>
          <a:ext cx="91440" cy="202089"/>
        </a:xfrm>
        <a:custGeom>
          <a:avLst/>
          <a:gdLst/>
          <a:ahLst/>
          <a:cxnLst/>
          <a:rect l="0" t="0" r="0" b="0"/>
          <a:pathLst>
            <a:path>
              <a:moveTo>
                <a:pt x="45720" y="0"/>
              </a:moveTo>
              <a:lnTo>
                <a:pt x="4572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8" name="任意多边形 7"/>
        <dsp:cNvSpPr/>
      </dsp:nvSpPr>
      <dsp:spPr>
        <a:xfrm>
          <a:off x="2457227" y="1648219"/>
          <a:ext cx="438644" cy="202089"/>
        </a:xfrm>
        <a:custGeom>
          <a:avLst/>
          <a:gdLst/>
          <a:ahLst/>
          <a:cxnLst/>
          <a:rect l="0" t="0" r="0" b="0"/>
          <a:pathLst>
            <a:path>
              <a:moveTo>
                <a:pt x="0" y="0"/>
              </a:moveTo>
              <a:lnTo>
                <a:pt x="0" y="137717"/>
              </a:lnTo>
              <a:lnTo>
                <a:pt x="438644" y="137717"/>
              </a:lnTo>
              <a:lnTo>
                <a:pt x="438644"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9" name="任意多边形 8"/>
        <dsp:cNvSpPr/>
      </dsp:nvSpPr>
      <dsp:spPr>
        <a:xfrm>
          <a:off x="2000876" y="2291546"/>
          <a:ext cx="91440" cy="202089"/>
        </a:xfrm>
        <a:custGeom>
          <a:avLst/>
          <a:gdLst/>
          <a:ahLst/>
          <a:cxnLst/>
          <a:rect l="0" t="0" r="0" b="0"/>
          <a:pathLst>
            <a:path>
              <a:moveTo>
                <a:pt x="45720" y="0"/>
              </a:moveTo>
              <a:lnTo>
                <a:pt x="4572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10" name="任意多边形 9"/>
        <dsp:cNvSpPr/>
      </dsp:nvSpPr>
      <dsp:spPr>
        <a:xfrm>
          <a:off x="2046596" y="1648219"/>
          <a:ext cx="410631" cy="202089"/>
        </a:xfrm>
        <a:custGeom>
          <a:avLst/>
          <a:gdLst/>
          <a:ahLst/>
          <a:cxnLst/>
          <a:rect l="0" t="0" r="0" b="0"/>
          <a:pathLst>
            <a:path>
              <a:moveTo>
                <a:pt x="410631" y="0"/>
              </a:moveTo>
              <a:lnTo>
                <a:pt x="410631" y="137717"/>
              </a:lnTo>
              <a:lnTo>
                <a:pt x="0" y="137717"/>
              </a:lnTo>
              <a:lnTo>
                <a:pt x="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11" name="任意多边形 10"/>
        <dsp:cNvSpPr/>
      </dsp:nvSpPr>
      <dsp:spPr>
        <a:xfrm>
          <a:off x="2411507" y="1004893"/>
          <a:ext cx="91440" cy="202089"/>
        </a:xfrm>
        <a:custGeom>
          <a:avLst/>
          <a:gdLst/>
          <a:ahLst/>
          <a:cxnLst/>
          <a:rect l="0" t="0" r="0" b="0"/>
          <a:pathLst>
            <a:path>
              <a:moveTo>
                <a:pt x="59726" y="0"/>
              </a:moveTo>
              <a:lnTo>
                <a:pt x="59726" y="137717"/>
              </a:lnTo>
              <a:lnTo>
                <a:pt x="45720" y="137717"/>
              </a:lnTo>
              <a:lnTo>
                <a:pt x="45720" y="202089"/>
              </a:lnTo>
            </a:path>
          </a:pathLst>
        </a:custGeom>
        <a:noFill/>
        <a:ln w="25400" cap="flat" cmpd="sng" algn="ctr">
          <a:solidFill>
            <a:srgbClr val="163862">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dsp:nvSpPr>
        <dsp:cNvPr id="12" name="任意多边形 11"/>
        <dsp:cNvSpPr/>
      </dsp:nvSpPr>
      <dsp:spPr>
        <a:xfrm>
          <a:off x="1151599" y="2291546"/>
          <a:ext cx="91440" cy="202089"/>
        </a:xfrm>
        <a:custGeom>
          <a:avLst/>
          <a:gdLst/>
          <a:ahLst/>
          <a:cxnLst/>
          <a:rect l="0" t="0" r="0" b="0"/>
          <a:pathLst>
            <a:path>
              <a:moveTo>
                <a:pt x="45720" y="0"/>
              </a:moveTo>
              <a:lnTo>
                <a:pt x="4572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13" name="任意多边形 12"/>
        <dsp:cNvSpPr/>
      </dsp:nvSpPr>
      <dsp:spPr>
        <a:xfrm>
          <a:off x="772681" y="1648219"/>
          <a:ext cx="424638" cy="202089"/>
        </a:xfrm>
        <a:custGeom>
          <a:avLst/>
          <a:gdLst/>
          <a:ahLst/>
          <a:cxnLst/>
          <a:rect l="0" t="0" r="0" b="0"/>
          <a:pathLst>
            <a:path>
              <a:moveTo>
                <a:pt x="0" y="0"/>
              </a:moveTo>
              <a:lnTo>
                <a:pt x="0" y="137717"/>
              </a:lnTo>
              <a:lnTo>
                <a:pt x="424638" y="137717"/>
              </a:lnTo>
              <a:lnTo>
                <a:pt x="424638"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14" name="任意多边形 13"/>
        <dsp:cNvSpPr/>
      </dsp:nvSpPr>
      <dsp:spPr>
        <a:xfrm>
          <a:off x="302323" y="2291546"/>
          <a:ext cx="91440" cy="202089"/>
        </a:xfrm>
        <a:custGeom>
          <a:avLst/>
          <a:gdLst/>
          <a:ahLst/>
          <a:cxnLst/>
          <a:rect l="0" t="0" r="0" b="0"/>
          <a:pathLst>
            <a:path>
              <a:moveTo>
                <a:pt x="45720" y="0"/>
              </a:moveTo>
              <a:lnTo>
                <a:pt x="4572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15" name="任意多边形 14"/>
        <dsp:cNvSpPr/>
      </dsp:nvSpPr>
      <dsp:spPr>
        <a:xfrm>
          <a:off x="348043" y="1648219"/>
          <a:ext cx="424638" cy="202089"/>
        </a:xfrm>
        <a:custGeom>
          <a:avLst/>
          <a:gdLst/>
          <a:ahLst/>
          <a:cxnLst/>
          <a:rect l="0" t="0" r="0" b="0"/>
          <a:pathLst>
            <a:path>
              <a:moveTo>
                <a:pt x="424638" y="0"/>
              </a:moveTo>
              <a:lnTo>
                <a:pt x="424638" y="137717"/>
              </a:lnTo>
              <a:lnTo>
                <a:pt x="0" y="137717"/>
              </a:lnTo>
              <a:lnTo>
                <a:pt x="0" y="202089"/>
              </a:lnTo>
            </a:path>
          </a:pathLst>
        </a:custGeom>
        <a:noFill/>
        <a:ln w="25400" cap="flat" cmpd="sng" algn="ctr">
          <a:solidFill>
            <a:srgbClr val="1B4171">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dsp:nvSpPr>
        <dsp:cNvPr id="16" name="任意多边形 15"/>
        <dsp:cNvSpPr/>
      </dsp:nvSpPr>
      <dsp:spPr>
        <a:xfrm>
          <a:off x="772681" y="1004893"/>
          <a:ext cx="1698552" cy="202089"/>
        </a:xfrm>
        <a:custGeom>
          <a:avLst/>
          <a:gdLst/>
          <a:ahLst/>
          <a:cxnLst/>
          <a:rect l="0" t="0" r="0" b="0"/>
          <a:pathLst>
            <a:path>
              <a:moveTo>
                <a:pt x="1698552" y="0"/>
              </a:moveTo>
              <a:lnTo>
                <a:pt x="1698552" y="137717"/>
              </a:lnTo>
              <a:lnTo>
                <a:pt x="0" y="137717"/>
              </a:lnTo>
              <a:lnTo>
                <a:pt x="0" y="202089"/>
              </a:lnTo>
            </a:path>
          </a:pathLst>
        </a:custGeom>
        <a:noFill/>
        <a:ln w="25400" cap="flat" cmpd="sng" algn="ctr">
          <a:solidFill>
            <a:srgbClr val="163862">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dsp:nvSpPr>
        <dsp:cNvPr id="17" name="圆角矩形 16"/>
        <dsp:cNvSpPr/>
      </dsp:nvSpPr>
      <dsp:spPr>
        <a:xfrm>
          <a:off x="2123802" y="563655"/>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18" name="圆角矩形 17"/>
        <dsp:cNvSpPr/>
      </dsp:nvSpPr>
      <dsp:spPr>
        <a:xfrm>
          <a:off x="2201009" y="637002"/>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2201009" y="637002"/>
        <a:ext cx="694862" cy="441237"/>
      </dsp:txXfrm>
    </dsp:sp>
    <dsp:sp>
      <dsp:nvSpPr>
        <dsp:cNvPr id="19" name="圆角矩形 18"/>
        <dsp:cNvSpPr/>
      </dsp:nvSpPr>
      <dsp:spPr>
        <a:xfrm>
          <a:off x="425250" y="1206982"/>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20" name="圆角矩形 19"/>
        <dsp:cNvSpPr/>
      </dsp:nvSpPr>
      <dsp:spPr>
        <a:xfrm>
          <a:off x="502457" y="1280328"/>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502457" y="1280328"/>
        <a:ext cx="694862" cy="441237"/>
      </dsp:txXfrm>
    </dsp:sp>
    <dsp:sp>
      <dsp:nvSpPr>
        <dsp:cNvPr id="21" name="圆角矩形 20"/>
        <dsp:cNvSpPr/>
      </dsp:nvSpPr>
      <dsp:spPr>
        <a:xfrm>
          <a:off x="612" y="1850308"/>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22" name="圆角矩形 21"/>
        <dsp:cNvSpPr/>
      </dsp:nvSpPr>
      <dsp:spPr>
        <a:xfrm>
          <a:off x="77819" y="1923655"/>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77819" y="1923655"/>
        <a:ext cx="694862" cy="441237"/>
      </dsp:txXfrm>
    </dsp:sp>
    <dsp:sp>
      <dsp:nvSpPr>
        <dsp:cNvPr id="23" name="圆角矩形 22"/>
        <dsp:cNvSpPr/>
      </dsp:nvSpPr>
      <dsp:spPr>
        <a:xfrm>
          <a:off x="612" y="2493635"/>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24" name="圆角矩形 23"/>
        <dsp:cNvSpPr/>
      </dsp:nvSpPr>
      <dsp:spPr>
        <a:xfrm>
          <a:off x="77819" y="2566981"/>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77819" y="2566981"/>
        <a:ext cx="694862" cy="441237"/>
      </dsp:txXfrm>
    </dsp:sp>
    <dsp:sp>
      <dsp:nvSpPr>
        <dsp:cNvPr id="25" name="圆角矩形 24"/>
        <dsp:cNvSpPr/>
      </dsp:nvSpPr>
      <dsp:spPr>
        <a:xfrm>
          <a:off x="849888" y="1850308"/>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26" name="圆角矩形 25"/>
        <dsp:cNvSpPr/>
      </dsp:nvSpPr>
      <dsp:spPr>
        <a:xfrm>
          <a:off x="927095" y="1923655"/>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927095" y="1923655"/>
        <a:ext cx="694862" cy="441237"/>
      </dsp:txXfrm>
    </dsp:sp>
    <dsp:sp>
      <dsp:nvSpPr>
        <dsp:cNvPr id="27" name="圆角矩形 26"/>
        <dsp:cNvSpPr/>
      </dsp:nvSpPr>
      <dsp:spPr>
        <a:xfrm>
          <a:off x="849888" y="2493635"/>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28" name="圆角矩形 27"/>
        <dsp:cNvSpPr/>
      </dsp:nvSpPr>
      <dsp:spPr>
        <a:xfrm>
          <a:off x="927095" y="2566981"/>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927095" y="2566981"/>
        <a:ext cx="694862" cy="441237"/>
      </dsp:txXfrm>
    </dsp:sp>
    <dsp:sp>
      <dsp:nvSpPr>
        <dsp:cNvPr id="29" name="圆角矩形 28"/>
        <dsp:cNvSpPr/>
      </dsp:nvSpPr>
      <dsp:spPr>
        <a:xfrm>
          <a:off x="2109796" y="1206982"/>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30" name="圆角矩形 29"/>
        <dsp:cNvSpPr/>
      </dsp:nvSpPr>
      <dsp:spPr>
        <a:xfrm>
          <a:off x="2187002" y="1280328"/>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2187002" y="1280328"/>
        <a:ext cx="694862" cy="441237"/>
      </dsp:txXfrm>
    </dsp:sp>
    <dsp:sp>
      <dsp:nvSpPr>
        <dsp:cNvPr id="31" name="圆角矩形 30"/>
        <dsp:cNvSpPr/>
      </dsp:nvSpPr>
      <dsp:spPr>
        <a:xfrm>
          <a:off x="1699164" y="1850308"/>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32" name="圆角矩形 31"/>
        <dsp:cNvSpPr/>
      </dsp:nvSpPr>
      <dsp:spPr>
        <a:xfrm>
          <a:off x="1776371" y="1923655"/>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1776371" y="1923655"/>
        <a:ext cx="694862" cy="441237"/>
      </dsp:txXfrm>
    </dsp:sp>
    <dsp:sp>
      <dsp:nvSpPr>
        <dsp:cNvPr id="33" name="圆角矩形 32"/>
        <dsp:cNvSpPr/>
      </dsp:nvSpPr>
      <dsp:spPr>
        <a:xfrm>
          <a:off x="1699164" y="2493635"/>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34" name="圆角矩形 33"/>
        <dsp:cNvSpPr/>
      </dsp:nvSpPr>
      <dsp:spPr>
        <a:xfrm>
          <a:off x="1776371" y="2566981"/>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1776371" y="2566981"/>
        <a:ext cx="694862" cy="441237"/>
      </dsp:txXfrm>
    </dsp:sp>
    <dsp:sp>
      <dsp:nvSpPr>
        <dsp:cNvPr id="35" name="圆角矩形 34"/>
        <dsp:cNvSpPr/>
      </dsp:nvSpPr>
      <dsp:spPr>
        <a:xfrm>
          <a:off x="2548440" y="1850308"/>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36" name="圆角矩形 35"/>
        <dsp:cNvSpPr/>
      </dsp:nvSpPr>
      <dsp:spPr>
        <a:xfrm>
          <a:off x="2625647" y="1923655"/>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2625647" y="1923655"/>
        <a:ext cx="694862" cy="441237"/>
      </dsp:txXfrm>
    </dsp:sp>
    <dsp:sp>
      <dsp:nvSpPr>
        <dsp:cNvPr id="37" name="圆角矩形 36"/>
        <dsp:cNvSpPr/>
      </dsp:nvSpPr>
      <dsp:spPr>
        <a:xfrm>
          <a:off x="2548440" y="2493635"/>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38" name="圆角矩形 37"/>
        <dsp:cNvSpPr/>
      </dsp:nvSpPr>
      <dsp:spPr>
        <a:xfrm>
          <a:off x="2625647" y="2566981"/>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2625647" y="2566981"/>
        <a:ext cx="694862" cy="441237"/>
      </dsp:txXfrm>
    </dsp:sp>
    <dsp:sp>
      <dsp:nvSpPr>
        <dsp:cNvPr id="39" name="圆角矩形 38"/>
        <dsp:cNvSpPr/>
      </dsp:nvSpPr>
      <dsp:spPr>
        <a:xfrm>
          <a:off x="3397717" y="1850308"/>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40" name="圆角矩形 39"/>
        <dsp:cNvSpPr/>
      </dsp:nvSpPr>
      <dsp:spPr>
        <a:xfrm>
          <a:off x="3474923" y="1923655"/>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3474923" y="1923655"/>
        <a:ext cx="694862" cy="441237"/>
      </dsp:txXfrm>
    </dsp:sp>
    <dsp:sp>
      <dsp:nvSpPr>
        <dsp:cNvPr id="41" name="圆角矩形 40"/>
        <dsp:cNvSpPr/>
      </dsp:nvSpPr>
      <dsp:spPr>
        <a:xfrm>
          <a:off x="3397717" y="2493635"/>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42" name="圆角矩形 41"/>
        <dsp:cNvSpPr/>
      </dsp:nvSpPr>
      <dsp:spPr>
        <a:xfrm>
          <a:off x="3474923" y="2566981"/>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3474923" y="2566981"/>
        <a:ext cx="694862" cy="441237"/>
      </dsp:txXfrm>
    </dsp:sp>
    <dsp:sp>
      <dsp:nvSpPr>
        <dsp:cNvPr id="43" name="圆角矩形 42"/>
        <dsp:cNvSpPr/>
      </dsp:nvSpPr>
      <dsp:spPr>
        <a:xfrm>
          <a:off x="4246993" y="1850308"/>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44" name="圆角矩形 43"/>
        <dsp:cNvSpPr/>
      </dsp:nvSpPr>
      <dsp:spPr>
        <a:xfrm>
          <a:off x="4324200" y="1923655"/>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4324200" y="1923655"/>
        <a:ext cx="694862" cy="441237"/>
      </dsp:txXfrm>
    </dsp:sp>
    <dsp:sp>
      <dsp:nvSpPr>
        <dsp:cNvPr id="45" name="圆角矩形 44"/>
        <dsp:cNvSpPr/>
      </dsp:nvSpPr>
      <dsp:spPr>
        <a:xfrm>
          <a:off x="4246993" y="2493635"/>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46" name="圆角矩形 45"/>
        <dsp:cNvSpPr/>
      </dsp:nvSpPr>
      <dsp:spPr>
        <a:xfrm>
          <a:off x="4324200" y="2566981"/>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4324200" y="2566981"/>
        <a:ext cx="694862" cy="441237"/>
      </dsp:txXfrm>
    </dsp:sp>
    <dsp:sp>
      <dsp:nvSpPr>
        <dsp:cNvPr id="47" name="圆角矩形 46"/>
        <dsp:cNvSpPr/>
      </dsp:nvSpPr>
      <dsp:spPr>
        <a:xfrm>
          <a:off x="3822355" y="1206982"/>
          <a:ext cx="694862" cy="441237"/>
        </a:xfrm>
        <a:prstGeom prst="roundRect">
          <a:avLst>
            <a:gd name="adj" fmla="val 10000"/>
          </a:avLst>
        </a:prstGeom>
        <a:solidFill>
          <a:srgbClr val="1F497D">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rgbClr val="FFFFFF"/>
        </a:fontRef>
      </dsp:style>
    </dsp:sp>
    <dsp:sp>
      <dsp:nvSpPr>
        <dsp:cNvPr id="48" name="圆角矩形 47"/>
        <dsp:cNvSpPr/>
      </dsp:nvSpPr>
      <dsp:spPr>
        <a:xfrm>
          <a:off x="3899561" y="1280328"/>
          <a:ext cx="694862" cy="441237"/>
        </a:xfrm>
        <a:prstGeom prst="roundRect">
          <a:avLst>
            <a:gd name="adj" fmla="val 10000"/>
          </a:avLst>
        </a:prstGeom>
        <a:solidFill>
          <a:srgbClr val="EEECE1">
            <a:alpha val="90000"/>
            <a:hueOff val="0"/>
            <a:satOff val="0"/>
            <a:lumOff val="0"/>
            <a:alphaOff val="0"/>
          </a:srgbClr>
        </a:solidFill>
        <a:ln w="9525" cap="flat" cmpd="sng" algn="ctr">
          <a:solidFill>
            <a:srgbClr val="1F497D">
              <a:hueOff val="0"/>
              <a:satOff val="0"/>
              <a:lumOff val="0"/>
              <a:alphaOff val="0"/>
            </a:srgb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Xfrm>
        <a:off x="3899561" y="1280328"/>
        <a:ext cx="694862" cy="4412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srcNode" val="background"/>
                    <dgm:param type="dstNode" val="background2"/>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srcNode" val="background2"/>
                            <dgm:param type="dstNode" val="background3"/>
                            <dgm:param type="dim" val="1D"/>
                            <dgm:param type="endSty" val="noArr"/>
                            <dgm:param type="connRout" val="bend"/>
                            <dgm:param type="begPts" val="bCtr"/>
                            <dgm:param type="endPts" val="tCtr"/>
                            <dgm:param type="bendPt" val="end"/>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srcNode" val="background3"/>
                                        <dgm:param type="dstNode" val="background4"/>
                                        <dgm:param type="dim" val="1D"/>
                                        <dgm:param type="endSty" val="noArr"/>
                                        <dgm:param type="connRout" val="bend"/>
                                        <dgm:param type="begPts" val="bCtr"/>
                                        <dgm:param type="endPts" val="tCtr"/>
                                        <dgm:param type="bendPt" val="end"/>
                                      </dgm:alg>
                                    </dgm:if>
                                    <dgm:else name="Name26">
                                      <dgm:alg type="conn">
                                        <dgm:param type="srcNode" val="background4"/>
                                        <dgm:param type="dstNode" val="background4"/>
                                        <dgm:param type="dim" val="1D"/>
                                        <dgm:param type="endSty" val="noArr"/>
                                        <dgm:param type="connRout" val="bend"/>
                                        <dgm:param type="begPts" val="bCtr"/>
                                        <dgm:param type="endPts" val="tCtr"/>
                                        <dgm:param type="bendPt" val="end"/>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Office_10.1.0.5975_F1E327BC-269C-435d-A152-05C5408002CA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2016-09-28T03:30:00Z</dcterms:created>
  <dc:creator>Administrator</dc:creator>
  <cp:lastModifiedBy>Administrator</cp:lastModifiedBy>
  <dcterms:modified xsi:type="dcterms:W3CDTF">2016-09-30T02:26:06Z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